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9E" w:rsidRDefault="0017089E" w:rsidP="00282D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COMUNICATO STAMPA</w:t>
      </w:r>
    </w:p>
    <w:p w:rsidR="00AB0720" w:rsidRDefault="006061F4" w:rsidP="00401C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SANITÀ: INACCETTABILI DISEGUAGLIANZE REGIONALI NELL’EROGAZIONE DEI LIVELLI ESSENZIALI DI ASSISTENZA 2010-2017 </w:t>
      </w:r>
    </w:p>
    <w:p w:rsidR="00A13CA8" w:rsidRDefault="00516CBE" w:rsidP="00077E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L’</w:t>
      </w:r>
      <w:r w:rsidR="00401C52">
        <w:rPr>
          <w:b/>
          <w:bCs/>
          <w:sz w:val="24"/>
          <w:szCs w:val="24"/>
        </w:rPr>
        <w:t xml:space="preserve">ANALISI GIMBE </w:t>
      </w:r>
      <w:r w:rsidR="007D29DD">
        <w:rPr>
          <w:b/>
          <w:bCs/>
          <w:sz w:val="24"/>
          <w:szCs w:val="24"/>
        </w:rPr>
        <w:t xml:space="preserve">ATTESTA </w:t>
      </w:r>
      <w:r w:rsidR="001D3CD2">
        <w:rPr>
          <w:b/>
          <w:bCs/>
          <w:sz w:val="24"/>
          <w:szCs w:val="24"/>
        </w:rPr>
        <w:t>UNA</w:t>
      </w:r>
      <w:r w:rsidR="00A13CA8" w:rsidRPr="00A13CA8">
        <w:rPr>
          <w:b/>
          <w:bCs/>
          <w:sz w:val="24"/>
          <w:szCs w:val="24"/>
        </w:rPr>
        <w:t xml:space="preserve"> PERCENTUALE CUMULATIVA </w:t>
      </w:r>
      <w:r w:rsidR="001D3CD2">
        <w:rPr>
          <w:b/>
          <w:bCs/>
          <w:sz w:val="24"/>
          <w:szCs w:val="24"/>
        </w:rPr>
        <w:t xml:space="preserve">2010-2017 </w:t>
      </w:r>
      <w:r w:rsidR="0090298A">
        <w:rPr>
          <w:b/>
          <w:bCs/>
          <w:sz w:val="24"/>
          <w:szCs w:val="24"/>
        </w:rPr>
        <w:t>DI ADEMPIMENTI</w:t>
      </w:r>
      <w:r w:rsidR="00A13CA8" w:rsidRPr="00A13CA8">
        <w:rPr>
          <w:b/>
          <w:bCs/>
          <w:sz w:val="24"/>
          <w:szCs w:val="24"/>
        </w:rPr>
        <w:t xml:space="preserve"> </w:t>
      </w:r>
      <w:r w:rsidR="0090298A">
        <w:rPr>
          <w:b/>
          <w:bCs/>
          <w:sz w:val="24"/>
          <w:szCs w:val="24"/>
        </w:rPr>
        <w:t>REGIONALI</w:t>
      </w:r>
      <w:r w:rsidR="00D37174">
        <w:rPr>
          <w:b/>
          <w:bCs/>
          <w:sz w:val="24"/>
          <w:szCs w:val="24"/>
        </w:rPr>
        <w:t xml:space="preserve"> </w:t>
      </w:r>
      <w:r w:rsidR="001D3CD2">
        <w:rPr>
          <w:b/>
          <w:bCs/>
          <w:sz w:val="24"/>
          <w:szCs w:val="24"/>
        </w:rPr>
        <w:t xml:space="preserve">AI LIVELLI ESSENZIALI DI ASSISTENZA </w:t>
      </w:r>
      <w:r w:rsidR="00D37174">
        <w:rPr>
          <w:b/>
          <w:bCs/>
          <w:sz w:val="24"/>
          <w:szCs w:val="24"/>
        </w:rPr>
        <w:t>DEL 73,7%</w:t>
      </w:r>
      <w:r w:rsidR="00401C52">
        <w:rPr>
          <w:b/>
          <w:bCs/>
          <w:sz w:val="24"/>
          <w:szCs w:val="24"/>
        </w:rPr>
        <w:t xml:space="preserve"> CON UNA FORBICE ESTREMAMENTE AMPIA: </w:t>
      </w:r>
      <w:r w:rsidR="00401C52" w:rsidRPr="00401C52">
        <w:rPr>
          <w:b/>
          <w:bCs/>
          <w:sz w:val="24"/>
          <w:szCs w:val="24"/>
        </w:rPr>
        <w:t>DAL 92,5% DELL’EMILIA ROMAGNA AL 53,9% DELLA CAMPANIA</w:t>
      </w:r>
      <w:r w:rsidR="00D37174">
        <w:rPr>
          <w:b/>
          <w:bCs/>
          <w:sz w:val="24"/>
          <w:szCs w:val="24"/>
        </w:rPr>
        <w:t xml:space="preserve">. </w:t>
      </w:r>
      <w:r w:rsidR="00ED0FF8">
        <w:rPr>
          <w:b/>
          <w:bCs/>
          <w:sz w:val="24"/>
          <w:szCs w:val="24"/>
        </w:rPr>
        <w:t xml:space="preserve">OVVERO, </w:t>
      </w:r>
      <w:r w:rsidR="00401C52">
        <w:rPr>
          <w:b/>
          <w:bCs/>
          <w:sz w:val="24"/>
          <w:szCs w:val="24"/>
        </w:rPr>
        <w:t xml:space="preserve">SE </w:t>
      </w:r>
      <w:r w:rsidR="00A13CA8" w:rsidRPr="00A13CA8">
        <w:rPr>
          <w:b/>
          <w:bCs/>
          <w:sz w:val="24"/>
          <w:szCs w:val="24"/>
        </w:rPr>
        <w:t xml:space="preserve">I PUNTEGGI </w:t>
      </w:r>
      <w:r w:rsidR="00593F06">
        <w:rPr>
          <w:b/>
          <w:bCs/>
          <w:sz w:val="24"/>
          <w:szCs w:val="24"/>
        </w:rPr>
        <w:t xml:space="preserve">DELLA “GRIGLIA </w:t>
      </w:r>
      <w:r w:rsidR="00A13CA8" w:rsidRPr="00A13CA8">
        <w:rPr>
          <w:b/>
          <w:bCs/>
          <w:sz w:val="24"/>
          <w:szCs w:val="24"/>
        </w:rPr>
        <w:t>LEA</w:t>
      </w:r>
      <w:r w:rsidR="00593F06">
        <w:rPr>
          <w:b/>
          <w:bCs/>
          <w:sz w:val="24"/>
          <w:szCs w:val="24"/>
        </w:rPr>
        <w:t>”</w:t>
      </w:r>
      <w:r w:rsidR="00401C52">
        <w:rPr>
          <w:b/>
          <w:bCs/>
          <w:sz w:val="24"/>
          <w:szCs w:val="24"/>
        </w:rPr>
        <w:t xml:space="preserve"> RAPPRESENTANO </w:t>
      </w:r>
      <w:r w:rsidR="00022079">
        <w:rPr>
          <w:b/>
          <w:bCs/>
          <w:sz w:val="24"/>
          <w:szCs w:val="24"/>
        </w:rPr>
        <w:t>L’</w:t>
      </w:r>
      <w:r w:rsidR="00A13CA8" w:rsidRPr="00A13CA8">
        <w:rPr>
          <w:b/>
          <w:bCs/>
          <w:sz w:val="24"/>
          <w:szCs w:val="24"/>
        </w:rPr>
        <w:t>INDICATORE UFFICIALE</w:t>
      </w:r>
      <w:r w:rsidR="00401C52">
        <w:rPr>
          <w:b/>
          <w:bCs/>
          <w:sz w:val="24"/>
          <w:szCs w:val="24"/>
        </w:rPr>
        <w:t xml:space="preserve"> PER MONITORARE L’EROGAZIONE</w:t>
      </w:r>
      <w:r w:rsidR="00593F06">
        <w:rPr>
          <w:b/>
          <w:bCs/>
          <w:sz w:val="24"/>
          <w:szCs w:val="24"/>
        </w:rPr>
        <w:t xml:space="preserve"> DELLE PRESTAZIONI</w:t>
      </w:r>
      <w:r w:rsidR="00401C5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NEL PERIODO 2010-2017 </w:t>
      </w:r>
      <w:r w:rsidR="00A13CA8" w:rsidRPr="00A13CA8">
        <w:rPr>
          <w:b/>
          <w:bCs/>
          <w:sz w:val="24"/>
          <w:szCs w:val="24"/>
        </w:rPr>
        <w:t>IL 26,3% DELLE RISORSE ASSEGNATE DALLO STATO ALLE REGIONI NON HA PRODOTTO SERVIZI PER I CITTADINI.</w:t>
      </w:r>
      <w:r w:rsidR="006E00DA">
        <w:rPr>
          <w:b/>
          <w:bCs/>
          <w:sz w:val="24"/>
          <w:szCs w:val="24"/>
        </w:rPr>
        <w:t xml:space="preserve"> </w:t>
      </w:r>
      <w:r w:rsidR="00D37174">
        <w:rPr>
          <w:b/>
          <w:bCs/>
          <w:sz w:val="24"/>
          <w:szCs w:val="24"/>
        </w:rPr>
        <w:t xml:space="preserve">GIMBE INVOCA UN </w:t>
      </w:r>
      <w:r w:rsidR="00C07782">
        <w:rPr>
          <w:b/>
          <w:bCs/>
          <w:sz w:val="24"/>
          <w:szCs w:val="24"/>
        </w:rPr>
        <w:t xml:space="preserve">RADICALE </w:t>
      </w:r>
      <w:r w:rsidR="00D37174">
        <w:rPr>
          <w:b/>
          <w:bCs/>
          <w:sz w:val="24"/>
          <w:szCs w:val="24"/>
        </w:rPr>
        <w:t xml:space="preserve">CAMBIO DI ROTTA </w:t>
      </w:r>
      <w:r w:rsidR="00C1395F">
        <w:rPr>
          <w:b/>
          <w:bCs/>
          <w:sz w:val="24"/>
          <w:szCs w:val="24"/>
        </w:rPr>
        <w:t>PARALLELO AL</w:t>
      </w:r>
      <w:r w:rsidR="00134187">
        <w:rPr>
          <w:b/>
          <w:bCs/>
          <w:sz w:val="24"/>
          <w:szCs w:val="24"/>
        </w:rPr>
        <w:t xml:space="preserve">L’IMPLEMENTAZIONE DEL </w:t>
      </w:r>
      <w:r w:rsidR="00C07782">
        <w:rPr>
          <w:b/>
          <w:bCs/>
          <w:sz w:val="24"/>
          <w:szCs w:val="24"/>
        </w:rPr>
        <w:t>NUOVO SISTEMA DI GARANZIA CHE DAL 2020 SOSTITUIRÀ LA GRIGLIA</w:t>
      </w:r>
      <w:r w:rsidR="00ED0FF8">
        <w:rPr>
          <w:b/>
          <w:bCs/>
          <w:sz w:val="24"/>
          <w:szCs w:val="24"/>
        </w:rPr>
        <w:t xml:space="preserve"> LEA</w:t>
      </w:r>
      <w:r w:rsidR="00401C52">
        <w:rPr>
          <w:b/>
          <w:bCs/>
          <w:sz w:val="24"/>
          <w:szCs w:val="24"/>
        </w:rPr>
        <w:t>, PERCHÉ IL DIRITTO ALLA TUTELA DELLA SALUTE</w:t>
      </w:r>
      <w:r w:rsidR="00022079">
        <w:rPr>
          <w:b/>
          <w:bCs/>
          <w:sz w:val="24"/>
          <w:szCs w:val="24"/>
        </w:rPr>
        <w:t xml:space="preserve"> </w:t>
      </w:r>
      <w:r w:rsidR="00134187">
        <w:rPr>
          <w:b/>
          <w:bCs/>
          <w:sz w:val="24"/>
          <w:szCs w:val="24"/>
        </w:rPr>
        <w:t>NON PUÒ PIÙ ESSERE LEGATO AL CAP DI RESIDENZA DELLE PERSONE</w:t>
      </w:r>
      <w:r w:rsidR="00C07782">
        <w:rPr>
          <w:b/>
          <w:bCs/>
          <w:sz w:val="24"/>
          <w:szCs w:val="24"/>
        </w:rPr>
        <w:t>.</w:t>
      </w:r>
    </w:p>
    <w:p w:rsidR="005B4F61" w:rsidRDefault="00220C89" w:rsidP="00EA3C71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27</w:t>
      </w:r>
      <w:r w:rsidR="004B447F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novembre </w:t>
      </w:r>
      <w:r w:rsidR="00AE0F77">
        <w:rPr>
          <w:rFonts w:ascii="Calibri" w:eastAsia="Calibri" w:hAnsi="Calibri" w:cs="Times New Roman"/>
          <w:b/>
          <w:bCs/>
          <w:sz w:val="24"/>
          <w:szCs w:val="24"/>
        </w:rPr>
        <w:t>201</w:t>
      </w:r>
      <w:r w:rsidR="00AE52E4">
        <w:rPr>
          <w:rFonts w:ascii="Calibri" w:eastAsia="Calibri" w:hAnsi="Calibri" w:cs="Times New Roman"/>
          <w:b/>
          <w:bCs/>
          <w:sz w:val="24"/>
          <w:szCs w:val="24"/>
        </w:rPr>
        <w:t xml:space="preserve">9 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75698F" w:rsidRDefault="006655DA" w:rsidP="0090298A">
      <w:pPr>
        <w:spacing w:after="8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Ogni anno i</w:t>
      </w:r>
      <w:r w:rsidR="007E5588" w:rsidRPr="007E5588">
        <w:rPr>
          <w:rFonts w:eastAsia="Times New Roman" w:cstheme="minorHAnsi"/>
        </w:rPr>
        <w:t xml:space="preserve">l Ministero della Salute pubblica </w:t>
      </w:r>
      <w:r w:rsidR="00C5703C">
        <w:rPr>
          <w:rFonts w:eastAsia="Times New Roman" w:cstheme="minorHAnsi"/>
        </w:rPr>
        <w:t>il</w:t>
      </w:r>
      <w:r w:rsidR="00D232FA">
        <w:rPr>
          <w:rFonts w:eastAsia="Times New Roman" w:cstheme="minorHAnsi"/>
        </w:rPr>
        <w:t xml:space="preserve"> documento </w:t>
      </w:r>
      <w:r w:rsidR="00C5703C" w:rsidRPr="00C5703C">
        <w:rPr>
          <w:rFonts w:eastAsia="Times New Roman" w:cstheme="minorHAnsi"/>
        </w:rPr>
        <w:t>“Monitoraggio dei LEA attraverso la cd. Griglia LEA”</w:t>
      </w:r>
      <w:r w:rsidR="00A5036B">
        <w:rPr>
          <w:rFonts w:eastAsia="Times New Roman" w:cstheme="minorHAnsi"/>
        </w:rPr>
        <w:t xml:space="preserve"> </w:t>
      </w:r>
      <w:r w:rsidR="00D232FA">
        <w:rPr>
          <w:rFonts w:eastAsia="Times New Roman" w:cstheme="minorHAnsi"/>
        </w:rPr>
        <w:t xml:space="preserve">per verificare </w:t>
      </w:r>
      <w:r w:rsidR="007E5588" w:rsidRPr="007E5588">
        <w:rPr>
          <w:rFonts w:eastAsia="Times New Roman" w:cstheme="minorHAnsi"/>
        </w:rPr>
        <w:t>l’effettiva erogazione delle prestazioni</w:t>
      </w:r>
      <w:r w:rsidR="00A5036B">
        <w:rPr>
          <w:rFonts w:eastAsia="Times New Roman" w:cstheme="minorHAnsi"/>
        </w:rPr>
        <w:t xml:space="preserve"> sanitarie che le Regioni devono garantire ai cittadini. </w:t>
      </w:r>
      <w:r w:rsidR="0075698F" w:rsidRPr="0075698F">
        <w:rPr>
          <w:rFonts w:eastAsia="Times New Roman" w:cstheme="minorHAnsi"/>
        </w:rPr>
        <w:t>Per le Regioni considerate inadempienti e so</w:t>
      </w:r>
      <w:r w:rsidR="00EB5FE5">
        <w:rPr>
          <w:rFonts w:eastAsia="Times New Roman" w:cstheme="minorHAnsi"/>
        </w:rPr>
        <w:t>ttoposte a Piano di rientro</w:t>
      </w:r>
      <w:r w:rsidR="00D232FA">
        <w:rPr>
          <w:rFonts w:eastAsia="Times New Roman" w:cstheme="minorHAnsi"/>
        </w:rPr>
        <w:t>,</w:t>
      </w:r>
      <w:r w:rsidR="00EB5FE5">
        <w:rPr>
          <w:rFonts w:eastAsia="Times New Roman" w:cstheme="minorHAnsi"/>
        </w:rPr>
        <w:t xml:space="preserve"> </w:t>
      </w:r>
      <w:r w:rsidR="0075698F" w:rsidRPr="0075698F">
        <w:rPr>
          <w:rFonts w:eastAsia="Times New Roman" w:cstheme="minorHAnsi"/>
        </w:rPr>
        <w:t xml:space="preserve">il Ministero della Salute </w:t>
      </w:r>
      <w:r>
        <w:rPr>
          <w:rFonts w:eastAsia="Times New Roman" w:cstheme="minorHAnsi"/>
        </w:rPr>
        <w:t>prevede</w:t>
      </w:r>
      <w:r w:rsidRPr="0075698F">
        <w:rPr>
          <w:rFonts w:eastAsia="Times New Roman" w:cstheme="minorHAnsi"/>
        </w:rPr>
        <w:t xml:space="preserve"> </w:t>
      </w:r>
      <w:r w:rsidR="0075698F" w:rsidRPr="0075698F">
        <w:rPr>
          <w:rFonts w:eastAsia="Times New Roman" w:cstheme="minorHAnsi"/>
        </w:rPr>
        <w:t>un</w:t>
      </w:r>
      <w:r w:rsidR="00EB5FE5">
        <w:rPr>
          <w:rFonts w:eastAsia="Times New Roman" w:cstheme="minorHAnsi"/>
        </w:rPr>
        <w:t>o specifico</w:t>
      </w:r>
      <w:r w:rsidR="0075698F" w:rsidRPr="0075698F">
        <w:rPr>
          <w:rFonts w:eastAsia="Times New Roman" w:cstheme="minorHAnsi"/>
        </w:rPr>
        <w:t xml:space="preserve"> affiancamento nell’ambito dei rispettivi programmi operativi</w:t>
      </w:r>
      <w:r>
        <w:rPr>
          <w:rFonts w:eastAsia="Times New Roman" w:cstheme="minorHAnsi"/>
        </w:rPr>
        <w:t>.</w:t>
      </w:r>
    </w:p>
    <w:p w:rsidR="00533B76" w:rsidRDefault="00550C9C" w:rsidP="0090298A">
      <w:pPr>
        <w:spacing w:after="80"/>
        <w:jc w:val="both"/>
      </w:pPr>
      <w:r>
        <w:t>«</w:t>
      </w:r>
      <w:r w:rsidR="002B0785">
        <w:t>I</w:t>
      </w:r>
      <w:r w:rsidR="00D01845">
        <w:t xml:space="preserve">l nostro </w:t>
      </w:r>
      <w:r w:rsidR="007E5588">
        <w:t xml:space="preserve">Osservatorio </w:t>
      </w:r>
      <w:r w:rsidR="00723351">
        <w:t>– afferma Nino Cartabellotta, Presidente della Fondazione GIMBE –</w:t>
      </w:r>
      <w:r w:rsidR="00220C89">
        <w:t xml:space="preserve"> </w:t>
      </w:r>
      <w:r w:rsidR="00A5036B">
        <w:t xml:space="preserve">rileva </w:t>
      </w:r>
      <w:r w:rsidR="00533B76">
        <w:t xml:space="preserve">ormai da anni </w:t>
      </w:r>
      <w:r w:rsidR="00EB5FE5">
        <w:t xml:space="preserve">che la </w:t>
      </w:r>
      <w:r w:rsidR="006655DA">
        <w:t xml:space="preserve">griglia </w:t>
      </w:r>
      <w:r w:rsidR="00EB5FE5">
        <w:t>LEA si è progressivamente</w:t>
      </w:r>
      <w:r w:rsidR="00F71EF2">
        <w:t xml:space="preserve"> “appiatti</w:t>
      </w:r>
      <w:r w:rsidR="00EB5FE5">
        <w:t>ta</w:t>
      </w:r>
      <w:r w:rsidR="00F71EF2">
        <w:t xml:space="preserve">” </w:t>
      </w:r>
      <w:r w:rsidR="00EB5FE5">
        <w:t>e non è uno</w:t>
      </w:r>
      <w:r w:rsidR="00F71EF2">
        <w:t xml:space="preserve"> </w:t>
      </w:r>
      <w:r w:rsidR="007E5588">
        <w:t>strumento adeguato per verificare la reale erogazione de</w:t>
      </w:r>
      <w:r w:rsidR="00D232FA">
        <w:t>lle prestazioni</w:t>
      </w:r>
      <w:r w:rsidR="007E5588">
        <w:t xml:space="preserve"> </w:t>
      </w:r>
      <w:r w:rsidR="00D232FA">
        <w:t xml:space="preserve">sanitarie </w:t>
      </w:r>
      <w:r w:rsidR="007E5588">
        <w:t xml:space="preserve">e </w:t>
      </w:r>
      <w:r w:rsidR="006655DA">
        <w:t xml:space="preserve">la loro effettiva esigibilità </w:t>
      </w:r>
      <w:r w:rsidR="007E5588">
        <w:t>da parte dei cittadini</w:t>
      </w:r>
      <w:r w:rsidR="00533B76" w:rsidRPr="00F71EF2">
        <w:rPr>
          <w:color w:val="000000" w:themeColor="text1"/>
        </w:rPr>
        <w:t>»</w:t>
      </w:r>
      <w:r w:rsidR="00533B76">
        <w:t>.</w:t>
      </w:r>
      <w:r w:rsidR="00F71EF2">
        <w:t xml:space="preserve"> Infatti, le </w:t>
      </w:r>
      <w:r w:rsidR="000825EA">
        <w:t xml:space="preserve">già modeste </w:t>
      </w:r>
      <w:r w:rsidR="00F71EF2">
        <w:t xml:space="preserve">capacità </w:t>
      </w:r>
      <w:r w:rsidR="00F748A7">
        <w:t>dello strumento</w:t>
      </w:r>
      <w:r w:rsidR="00F71EF2" w:rsidRPr="007E5588">
        <w:t xml:space="preserve"> </w:t>
      </w:r>
      <w:r w:rsidR="001B3B52">
        <w:t xml:space="preserve">nel </w:t>
      </w:r>
      <w:r w:rsidR="00F71EF2" w:rsidRPr="007E5588">
        <w:t>“catturare” gli</w:t>
      </w:r>
      <w:r w:rsidR="00F71EF2">
        <w:t xml:space="preserve"> inadempimenti</w:t>
      </w:r>
      <w:r w:rsidR="000825EA">
        <w:t xml:space="preserve"> per numero limitato di indicatori e </w:t>
      </w:r>
      <w:r w:rsidR="00F71EF2" w:rsidRPr="007E5588">
        <w:t xml:space="preserve">modalità di rilevazione (autocertificazione delle Regioni) </w:t>
      </w:r>
      <w:r w:rsidR="000825EA" w:rsidRPr="007E5588">
        <w:t xml:space="preserve">si </w:t>
      </w:r>
      <w:r w:rsidR="000825EA">
        <w:t xml:space="preserve">sono </w:t>
      </w:r>
      <w:r w:rsidR="000825EA" w:rsidRPr="007E5588">
        <w:t xml:space="preserve">progressivamente </w:t>
      </w:r>
      <w:r w:rsidR="000825EA">
        <w:t xml:space="preserve">ridotte sia </w:t>
      </w:r>
      <w:r w:rsidR="00F71EF2" w:rsidRPr="007E5588">
        <w:t>per la stabilità d</w:t>
      </w:r>
      <w:r w:rsidR="00F71EF2">
        <w:t xml:space="preserve">ella griglia </w:t>
      </w:r>
      <w:r w:rsidR="00533B76">
        <w:t xml:space="preserve">(indicatori </w:t>
      </w:r>
      <w:r w:rsidR="00D232FA">
        <w:t xml:space="preserve">e soglie </w:t>
      </w:r>
      <w:r w:rsidR="008A36D7">
        <w:t xml:space="preserve">non hanno subìto negli anni </w:t>
      </w:r>
      <w:r w:rsidR="00D232FA">
        <w:t xml:space="preserve">rilevanti </w:t>
      </w:r>
      <w:r w:rsidR="008A36D7">
        <w:t>variazioni</w:t>
      </w:r>
      <w:r w:rsidR="00A5036B">
        <w:t xml:space="preserve"> e non vengono modificati dal 2015</w:t>
      </w:r>
      <w:r w:rsidR="00533B76">
        <w:t>)</w:t>
      </w:r>
      <w:r w:rsidR="000825EA">
        <w:t xml:space="preserve">, sia </w:t>
      </w:r>
      <w:r w:rsidR="00666C23">
        <w:t>per l’invarianza</w:t>
      </w:r>
      <w:r w:rsidR="00EB5FE5">
        <w:t xml:space="preserve"> della soglia</w:t>
      </w:r>
      <w:r w:rsidR="00666C23">
        <w:t xml:space="preserve"> di adempimento (</w:t>
      </w:r>
      <w:r w:rsidR="00B400A5">
        <w:t>per essere “promosse</w:t>
      </w:r>
      <w:r w:rsidR="000D68E6">
        <w:t>”</w:t>
      </w:r>
      <w:r w:rsidR="00B400A5">
        <w:t xml:space="preserve"> al</w:t>
      </w:r>
      <w:r w:rsidR="00EB5FE5">
        <w:t xml:space="preserve">le Regioni </w:t>
      </w:r>
      <w:r w:rsidR="00B400A5">
        <w:t>è sufficiente raggiungere</w:t>
      </w:r>
      <w:r w:rsidR="00D01845">
        <w:t xml:space="preserve"> </w:t>
      </w:r>
      <w:r w:rsidR="00EB5FE5">
        <w:t>160</w:t>
      </w:r>
      <w:r w:rsidR="00B400A5">
        <w:t>/225</w:t>
      </w:r>
      <w:r w:rsidR="00EB5FE5">
        <w:t xml:space="preserve"> punti</w:t>
      </w:r>
      <w:r w:rsidR="00666C23">
        <w:t>)</w:t>
      </w:r>
      <w:r w:rsidR="00533B76">
        <w:t xml:space="preserve">. </w:t>
      </w:r>
    </w:p>
    <w:p w:rsidR="00A5036B" w:rsidRDefault="00533B76" w:rsidP="0090298A">
      <w:pPr>
        <w:spacing w:after="80"/>
        <w:jc w:val="both"/>
      </w:pPr>
      <w:r>
        <w:t>«</w:t>
      </w:r>
      <w:r w:rsidR="00C8437C">
        <w:t>In altre parole</w:t>
      </w:r>
      <w:r w:rsidR="00C56E4D">
        <w:t xml:space="preserve">, dal 2008 </w:t>
      </w:r>
      <w:r>
        <w:t>– continua il Presidente –</w:t>
      </w:r>
      <w:r w:rsidR="00FC27C3">
        <w:t xml:space="preserve"> </w:t>
      </w:r>
      <w:r w:rsidR="00EB5FE5">
        <w:t xml:space="preserve">lo Stato </w:t>
      </w:r>
      <w:r w:rsidR="00C8437C">
        <w:t xml:space="preserve">certifica l’erogazione </w:t>
      </w:r>
      <w:r w:rsidR="007F5895">
        <w:t xml:space="preserve">regionale </w:t>
      </w:r>
      <w:r w:rsidR="00C8437C">
        <w:t xml:space="preserve">delle prestazioni con uno strumento sempre </w:t>
      </w:r>
      <w:r w:rsidR="00D232FA">
        <w:t xml:space="preserve">meno adeguato per valutare </w:t>
      </w:r>
      <w:r w:rsidR="00A5036B" w:rsidRPr="00A5036B">
        <w:t>la qualità dell’assistenza sanit</w:t>
      </w:r>
      <w:r w:rsidR="00A5036B">
        <w:t>aria. I</w:t>
      </w:r>
      <w:r w:rsidR="00C8437C">
        <w:t xml:space="preserve">nfatti, </w:t>
      </w:r>
      <w:r>
        <w:t>a fronte dei risultati dell’</w:t>
      </w:r>
      <w:r w:rsidR="00F71EF2">
        <w:t xml:space="preserve">ultimo </w:t>
      </w:r>
      <w:r w:rsidR="0094391B">
        <w:t xml:space="preserve">monitoraggio </w:t>
      </w:r>
      <w:r>
        <w:t>(</w:t>
      </w:r>
      <w:r w:rsidR="002C4810">
        <w:t>2017</w:t>
      </w:r>
      <w:r>
        <w:t xml:space="preserve">) </w:t>
      </w:r>
      <w:r w:rsidR="00666C23">
        <w:t>che</w:t>
      </w:r>
      <w:r w:rsidR="00D232FA">
        <w:t xml:space="preserve"> documenta </w:t>
      </w:r>
      <w:r w:rsidR="007E5588" w:rsidRPr="007E5588">
        <w:t>un trend dei punteggi LEA in progressivo aumento dal 2012</w:t>
      </w:r>
      <w:r w:rsidR="00CF70DB">
        <w:t xml:space="preserve"> e identifica </w:t>
      </w:r>
      <w:r w:rsidR="00A77CCA">
        <w:t xml:space="preserve">come </w:t>
      </w:r>
      <w:r w:rsidR="00CF70DB" w:rsidRPr="007E5588">
        <w:t xml:space="preserve">inadempienti </w:t>
      </w:r>
      <w:r w:rsidR="00CF70DB">
        <w:t>solo Calabria e Campania</w:t>
      </w:r>
      <w:r w:rsidR="007E5588" w:rsidRPr="007E5588">
        <w:t xml:space="preserve">, </w:t>
      </w:r>
      <w:r w:rsidR="00C8437C">
        <w:t>numerosi</w:t>
      </w:r>
      <w:r w:rsidR="007E5588" w:rsidRPr="007E5588">
        <w:t xml:space="preserve"> report </w:t>
      </w:r>
      <w:r w:rsidR="009226F4">
        <w:t xml:space="preserve">indipendenti </w:t>
      </w:r>
      <w:r w:rsidR="007E5588" w:rsidRPr="007E5588">
        <w:t>nazionali</w:t>
      </w:r>
      <w:r w:rsidR="00666C23">
        <w:t xml:space="preserve"> </w:t>
      </w:r>
      <w:r w:rsidR="007E5588" w:rsidRPr="007E5588">
        <w:t xml:space="preserve">e internazionali </w:t>
      </w:r>
      <w:r w:rsidR="00A77CCA">
        <w:t>attestano</w:t>
      </w:r>
      <w:r w:rsidR="00A77CCA" w:rsidRPr="007E5588">
        <w:t xml:space="preserve"> </w:t>
      </w:r>
      <w:r w:rsidR="00A5036B">
        <w:t xml:space="preserve">invece </w:t>
      </w:r>
      <w:r w:rsidR="007E5588" w:rsidRPr="007E5588">
        <w:t>un peggioramento della qualità dell’assistenza</w:t>
      </w:r>
      <w:r w:rsidR="00D232FA">
        <w:t>, in particolare secondo la prospettiva del cittadino/paziente</w:t>
      </w:r>
      <w:r w:rsidRPr="00F71EF2">
        <w:rPr>
          <w:color w:val="000000" w:themeColor="text1"/>
        </w:rPr>
        <w:t>»</w:t>
      </w:r>
      <w:r>
        <w:t>.</w:t>
      </w:r>
    </w:p>
    <w:p w:rsidR="00C564AF" w:rsidRDefault="0000535F" w:rsidP="0090298A">
      <w:pPr>
        <w:spacing w:after="80"/>
        <w:jc w:val="both"/>
      </w:pPr>
      <w:r>
        <w:t xml:space="preserve">Considerato che Governo e Regioni sono </w:t>
      </w:r>
      <w:r w:rsidR="007F1864">
        <w:t xml:space="preserve">impegnati </w:t>
      </w:r>
      <w:r>
        <w:t xml:space="preserve">nella stesura del nuovo Patto per la Salute, dove Piani di rientro e commissariamenti rappresentano uno dei nodi </w:t>
      </w:r>
      <w:r w:rsidR="00CF70DB">
        <w:t xml:space="preserve">più critici </w:t>
      </w:r>
      <w:r>
        <w:t>da sciogliere,</w:t>
      </w:r>
      <w:r w:rsidR="00D01845">
        <w:t xml:space="preserve"> la</w:t>
      </w:r>
      <w:r>
        <w:t xml:space="preserve"> Fondazione GIMBE rende disponibili i risultati preliminari </w:t>
      </w:r>
      <w:r w:rsidR="00A77CCA">
        <w:t>dello studio</w:t>
      </w:r>
      <w:r>
        <w:t xml:space="preserve"> “Adempimenti LEA 2008-2017” </w:t>
      </w:r>
      <w:r w:rsidR="00877037">
        <w:t>avviato</w:t>
      </w:r>
      <w:r w:rsidR="00A5036B">
        <w:t xml:space="preserve"> con </w:t>
      </w:r>
      <w:r>
        <w:t xml:space="preserve">l’obiettivo di valutare le performance regionali negli ultimi 10 anni. </w:t>
      </w:r>
      <w:r w:rsidR="00C564AF">
        <w:t xml:space="preserve">Rispetto ai </w:t>
      </w:r>
      <w:r w:rsidR="00C564AF" w:rsidRPr="00C5703C">
        <w:rPr>
          <w:b/>
        </w:rPr>
        <w:t>metodi</w:t>
      </w:r>
      <w:r w:rsidR="00C564AF">
        <w:t>:</w:t>
      </w:r>
    </w:p>
    <w:p w:rsidR="00C564AF" w:rsidRDefault="00C564AF" w:rsidP="0090298A">
      <w:pPr>
        <w:pStyle w:val="Paragrafoelenco"/>
        <w:numPr>
          <w:ilvl w:val="0"/>
          <w:numId w:val="24"/>
        </w:numPr>
        <w:spacing w:after="80" w:line="276" w:lineRule="auto"/>
        <w:jc w:val="both"/>
      </w:pPr>
      <w:r>
        <w:t xml:space="preserve">Sono stati analizzati i 10 </w:t>
      </w:r>
      <w:r w:rsidR="00725B95" w:rsidRPr="00C05841">
        <w:t xml:space="preserve">monitoraggi </w:t>
      </w:r>
      <w:r w:rsidR="00D01845">
        <w:t>annuali de</w:t>
      </w:r>
      <w:r>
        <w:t xml:space="preserve">l Ministero della </w:t>
      </w:r>
      <w:r w:rsidR="00A5036B">
        <w:t>S</w:t>
      </w:r>
      <w:r>
        <w:t xml:space="preserve">alute </w:t>
      </w:r>
      <w:r w:rsidR="00D01845">
        <w:t xml:space="preserve">pubblicati dal </w:t>
      </w:r>
      <w:r>
        <w:t>2008</w:t>
      </w:r>
      <w:r w:rsidR="00D01845">
        <w:t xml:space="preserve"> al </w:t>
      </w:r>
      <w:r>
        <w:t>2017.</w:t>
      </w:r>
    </w:p>
    <w:p w:rsidR="00C564AF" w:rsidRDefault="00C564AF" w:rsidP="0090298A">
      <w:pPr>
        <w:pStyle w:val="Paragrafoelenco"/>
        <w:numPr>
          <w:ilvl w:val="0"/>
          <w:numId w:val="24"/>
        </w:numPr>
        <w:spacing w:after="80" w:line="276" w:lineRule="auto"/>
        <w:jc w:val="both"/>
      </w:pPr>
      <w:r>
        <w:t>Dal</w:t>
      </w:r>
      <w:r w:rsidR="00010D71">
        <w:t xml:space="preserve"> </w:t>
      </w:r>
      <w:r w:rsidR="00010D71" w:rsidRPr="00C05841">
        <w:t xml:space="preserve">report </w:t>
      </w:r>
      <w:r w:rsidR="00CF70DB">
        <w:t xml:space="preserve">preliminare </w:t>
      </w:r>
      <w:r>
        <w:t xml:space="preserve">sono stati esclusi gli anni 2008 e 2009 </w:t>
      </w:r>
      <w:r w:rsidR="00CF70DB">
        <w:t xml:space="preserve">che richiedono analisi </w:t>
      </w:r>
      <w:r>
        <w:t xml:space="preserve">complesse </w:t>
      </w:r>
      <w:r w:rsidR="00877037">
        <w:t xml:space="preserve">attualmente in corso; pertanto, </w:t>
      </w:r>
      <w:r>
        <w:t xml:space="preserve">i risultati </w:t>
      </w:r>
      <w:r w:rsidR="00877037">
        <w:t xml:space="preserve">sono relativi al </w:t>
      </w:r>
      <w:r w:rsidR="00CF70DB">
        <w:t>periodo 2010-2017, 8 anni</w:t>
      </w:r>
      <w:r>
        <w:t xml:space="preserve"> durante i quali ciascuna Regione poteva raggiungere un punteggio massimo di 1.800.</w:t>
      </w:r>
    </w:p>
    <w:p w:rsidR="00C564AF" w:rsidRDefault="00877037" w:rsidP="0090298A">
      <w:pPr>
        <w:pStyle w:val="Paragrafoelenco"/>
        <w:numPr>
          <w:ilvl w:val="0"/>
          <w:numId w:val="24"/>
        </w:numPr>
        <w:spacing w:after="80" w:line="276" w:lineRule="auto"/>
        <w:jc w:val="both"/>
      </w:pPr>
      <w:r>
        <w:t xml:space="preserve">Utilizzando </w:t>
      </w:r>
      <w:r w:rsidR="009860D5">
        <w:t xml:space="preserve">i dati </w:t>
      </w:r>
      <w:r w:rsidR="00A0163B">
        <w:t xml:space="preserve">regionali relativi a ciascun indicatore </w:t>
      </w:r>
      <w:r w:rsidR="009860D5">
        <w:t xml:space="preserve">e la griglia di attribuzione dei punteggi </w:t>
      </w:r>
      <w:r w:rsidR="00CF70DB">
        <w:t>disponibili</w:t>
      </w:r>
      <w:r w:rsidR="009860D5">
        <w:t xml:space="preserve"> nei </w:t>
      </w:r>
      <w:r w:rsidR="00725B95" w:rsidRPr="00C05841">
        <w:t xml:space="preserve">monitoraggi </w:t>
      </w:r>
      <w:r w:rsidR="00725B95">
        <w:t>ministeriali</w:t>
      </w:r>
      <w:r w:rsidR="00890E3C">
        <w:t xml:space="preserve">, </w:t>
      </w:r>
      <w:r w:rsidR="009860D5">
        <w:t>s</w:t>
      </w:r>
      <w:r w:rsidR="00C564AF">
        <w:t xml:space="preserve">ono stati calcolati </w:t>
      </w:r>
      <w:r w:rsidR="00CF70DB">
        <w:t xml:space="preserve">per gli anni 2010-2016 </w:t>
      </w:r>
      <w:r w:rsidR="00C564AF">
        <w:t xml:space="preserve">i punteggi per le Regioni non </w:t>
      </w:r>
      <w:r w:rsidR="00C564AF">
        <w:lastRenderedPageBreak/>
        <w:t xml:space="preserve">sottoposte a verifica </w:t>
      </w:r>
      <w:r w:rsidR="00D01845">
        <w:t xml:space="preserve">degli adempimenti </w:t>
      </w:r>
      <w:r w:rsidR="00C564AF">
        <w:t>(</w:t>
      </w:r>
      <w:r w:rsidR="00405FA5">
        <w:t>Friuli-Venezia Giulia</w:t>
      </w:r>
      <w:r w:rsidR="00C564AF">
        <w:t>, Sardegna, Valle D’Aosta, Province autonome di Trento e di Bolzano) e per tutte</w:t>
      </w:r>
      <w:r w:rsidR="00CF70DB">
        <w:t xml:space="preserve"> le Regioni per gli anni 2010-</w:t>
      </w:r>
      <w:r w:rsidR="00C564AF">
        <w:t xml:space="preserve">2011 </w:t>
      </w:r>
      <w:r w:rsidR="005B4FAC">
        <w:t xml:space="preserve">per cui </w:t>
      </w:r>
      <w:r w:rsidR="00890E3C">
        <w:t xml:space="preserve">il </w:t>
      </w:r>
      <w:r w:rsidR="005A14D6">
        <w:t xml:space="preserve">Ministero </w:t>
      </w:r>
      <w:r w:rsidR="00CF70DB">
        <w:t xml:space="preserve">non </w:t>
      </w:r>
      <w:r w:rsidR="005A14D6">
        <w:t>riporta</w:t>
      </w:r>
      <w:r w:rsidR="00CF70DB">
        <w:t xml:space="preserve"> il</w:t>
      </w:r>
      <w:r w:rsidR="000D68E6">
        <w:t xml:space="preserve"> </w:t>
      </w:r>
      <w:r w:rsidR="00FA551E">
        <w:t>punteggio totale</w:t>
      </w:r>
      <w:r w:rsidR="000D68E6">
        <w:t>,</w:t>
      </w:r>
      <w:r w:rsidR="00FA551E">
        <w:t xml:space="preserve"> </w:t>
      </w:r>
      <w:r w:rsidR="00CF70DB">
        <w:t xml:space="preserve">ma </w:t>
      </w:r>
      <w:r w:rsidR="00C564AF">
        <w:t>solo lo status adempiente</w:t>
      </w:r>
      <w:r w:rsidR="005A14D6">
        <w:t>/non adempiente</w:t>
      </w:r>
      <w:r w:rsidR="00A5036B">
        <w:t>.</w:t>
      </w:r>
    </w:p>
    <w:p w:rsidR="00C564AF" w:rsidRDefault="00ED4F2F" w:rsidP="0090298A">
      <w:pPr>
        <w:pStyle w:val="Paragrafoelenco"/>
        <w:numPr>
          <w:ilvl w:val="0"/>
          <w:numId w:val="24"/>
        </w:numPr>
        <w:spacing w:after="80" w:line="276" w:lineRule="auto"/>
        <w:jc w:val="both"/>
      </w:pPr>
      <w:r>
        <w:t xml:space="preserve">Le </w:t>
      </w:r>
      <w:r w:rsidR="009860D5">
        <w:t>“</w:t>
      </w:r>
      <w:r w:rsidR="00C564AF">
        <w:t>percentuali di adempimento</w:t>
      </w:r>
      <w:r w:rsidR="009860D5">
        <w:t>”</w:t>
      </w:r>
      <w:r w:rsidR="00C564AF">
        <w:t xml:space="preserve"> delle 21 Regioni e Province autonome</w:t>
      </w:r>
      <w:r w:rsidR="009860D5">
        <w:t xml:space="preserve"> </w:t>
      </w:r>
      <w:r>
        <w:t xml:space="preserve">sono state calcolate </w:t>
      </w:r>
      <w:r w:rsidR="009860D5">
        <w:t xml:space="preserve">come rapporto tra punteggio cumulativo ottenuto </w:t>
      </w:r>
      <w:r w:rsidR="005A14D6">
        <w:t xml:space="preserve">nel periodo 2010-2017 </w:t>
      </w:r>
      <w:r w:rsidR="009860D5">
        <w:t xml:space="preserve">e </w:t>
      </w:r>
      <w:r w:rsidR="005A14D6">
        <w:t xml:space="preserve">punteggio massimo </w:t>
      </w:r>
      <w:r w:rsidR="005A14D6" w:rsidRPr="00C05841">
        <w:t xml:space="preserve">raggiungibile. </w:t>
      </w:r>
    </w:p>
    <w:p w:rsidR="00C511C6" w:rsidRDefault="00C05841" w:rsidP="0090298A">
      <w:pPr>
        <w:pStyle w:val="Paragrafoelenco"/>
        <w:numPr>
          <w:ilvl w:val="0"/>
          <w:numId w:val="24"/>
        </w:numPr>
        <w:spacing w:after="80" w:line="276" w:lineRule="auto"/>
        <w:jc w:val="both"/>
      </w:pPr>
      <w:r>
        <w:t>N</w:t>
      </w:r>
      <w:r w:rsidR="005D1239" w:rsidRPr="005D1239">
        <w:t>on sono stati considerati criteri e soglie</w:t>
      </w:r>
      <w:r w:rsidRPr="00C05841">
        <w:t xml:space="preserve"> </w:t>
      </w:r>
      <w:r w:rsidRPr="005D1239">
        <w:t>per rinviare le Regioni al Piano di rientro</w:t>
      </w:r>
      <w:r>
        <w:t>,</w:t>
      </w:r>
      <w:r w:rsidR="005D1239" w:rsidRPr="005D1239">
        <w:t xml:space="preserve"> </w:t>
      </w:r>
      <w:r>
        <w:t xml:space="preserve">sia perché </w:t>
      </w:r>
      <w:r w:rsidR="005A14D6">
        <w:t>modificate nel tempo</w:t>
      </w:r>
      <w:r>
        <w:t>, sia per evitare bias di interpretazione</w:t>
      </w:r>
      <w:r w:rsidR="005A14D6">
        <w:t>.</w:t>
      </w:r>
      <w:r w:rsidR="005D1239" w:rsidRPr="005D1239">
        <w:t xml:space="preserve"> </w:t>
      </w:r>
    </w:p>
    <w:p w:rsidR="00877037" w:rsidRDefault="00A356F3" w:rsidP="0090298A">
      <w:pPr>
        <w:pStyle w:val="Paragrafoelenco"/>
        <w:numPr>
          <w:ilvl w:val="0"/>
          <w:numId w:val="24"/>
        </w:numPr>
        <w:spacing w:after="80" w:line="276" w:lineRule="auto"/>
        <w:jc w:val="both"/>
      </w:pPr>
      <w:r w:rsidRPr="00A356F3">
        <w:t>La classifica finale è stata elaborata secondo le percentuali cumulative di adempimento 2010-2017 e suddivisa, attraverso la definizione dei quartili, i</w:t>
      </w:r>
      <w:r w:rsidR="00134187">
        <w:t>n quattro gruppi.</w:t>
      </w:r>
    </w:p>
    <w:p w:rsidR="00EB5FE5" w:rsidRDefault="00877037" w:rsidP="0090298A">
      <w:pPr>
        <w:spacing w:after="80"/>
        <w:jc w:val="both"/>
      </w:pPr>
      <w:r w:rsidRPr="00B00D21">
        <w:rPr>
          <w:sz w:val="2"/>
        </w:rPr>
        <w:br/>
      </w:r>
      <w:r w:rsidR="00134187">
        <w:t>Dall’</w:t>
      </w:r>
      <w:r w:rsidR="00595A0C" w:rsidRPr="00877037">
        <w:rPr>
          <w:b/>
        </w:rPr>
        <w:t xml:space="preserve">analisi degli adempimenti LEA 2010-2017 </w:t>
      </w:r>
      <w:r w:rsidR="00E26467" w:rsidRPr="00E26467">
        <w:t>(tabella)</w:t>
      </w:r>
      <w:r w:rsidR="00E26467" w:rsidRPr="00877037">
        <w:rPr>
          <w:b/>
        </w:rPr>
        <w:t xml:space="preserve"> </w:t>
      </w:r>
      <w:r w:rsidR="00134187" w:rsidRPr="00D637D4">
        <w:t xml:space="preserve">è possibile </w:t>
      </w:r>
      <w:r w:rsidR="0000535F">
        <w:t xml:space="preserve">trarre </w:t>
      </w:r>
      <w:r w:rsidR="007C7106">
        <w:t xml:space="preserve">alcune </w:t>
      </w:r>
      <w:r w:rsidR="00595A0C">
        <w:t>considerazioni:</w:t>
      </w:r>
    </w:p>
    <w:p w:rsidR="00595A0C" w:rsidRDefault="00EB44A6" w:rsidP="0090298A">
      <w:pPr>
        <w:pStyle w:val="Paragrafoelenco"/>
        <w:numPr>
          <w:ilvl w:val="0"/>
          <w:numId w:val="25"/>
        </w:numPr>
        <w:spacing w:after="80" w:line="276" w:lineRule="auto"/>
        <w:jc w:val="both"/>
      </w:pPr>
      <w:r>
        <w:t>La percentuale cumulativa di ad</w:t>
      </w:r>
      <w:r w:rsidR="00723E4C">
        <w:t>empimento delle Regioni è del 73,7</w:t>
      </w:r>
      <w:r>
        <w:t xml:space="preserve">% (range </w:t>
      </w:r>
      <w:r w:rsidR="00723E4C">
        <w:t>53,9</w:t>
      </w:r>
      <w:r w:rsidR="00A6495C">
        <w:t>-</w:t>
      </w:r>
      <w:r w:rsidR="00723E4C">
        <w:t>92,2</w:t>
      </w:r>
      <w:r w:rsidR="00A6495C">
        <w:t xml:space="preserve">%): in altri termini, </w:t>
      </w:r>
      <w:r w:rsidR="005D1239">
        <w:t xml:space="preserve">se </w:t>
      </w:r>
      <w:r w:rsidR="00437372">
        <w:t xml:space="preserve">i punteggi rappresentano l’indicatore ufficiale per </w:t>
      </w:r>
      <w:r w:rsidR="001E5539">
        <w:t>monitorare l’erogazione</w:t>
      </w:r>
      <w:r w:rsidR="00047851">
        <w:t xml:space="preserve"> dei LEA</w:t>
      </w:r>
      <w:r w:rsidR="00437372">
        <w:t xml:space="preserve">, </w:t>
      </w:r>
      <w:r w:rsidR="00723E4C">
        <w:t>il 26</w:t>
      </w:r>
      <w:r w:rsidR="0000535F">
        <w:t>,3</w:t>
      </w:r>
      <w:r>
        <w:t>%</w:t>
      </w:r>
      <w:r w:rsidR="00134187">
        <w:t xml:space="preserve"> (range 7,8-46,1%)</w:t>
      </w:r>
      <w:r>
        <w:t xml:space="preserve"> delle risorse assegnate dallo Stato alle Regioni </w:t>
      </w:r>
      <w:r w:rsidR="00723E4C">
        <w:t xml:space="preserve">nel 2010-2017 </w:t>
      </w:r>
      <w:r>
        <w:t xml:space="preserve">non </w:t>
      </w:r>
      <w:r w:rsidR="00723E4C">
        <w:t>ha prodotto servizi per i cittadini.</w:t>
      </w:r>
      <w:r w:rsidR="0000535F">
        <w:t xml:space="preserve"> Interessante rilevare che la percentuale </w:t>
      </w:r>
      <w:r w:rsidR="001E5539">
        <w:t xml:space="preserve">di </w:t>
      </w:r>
      <w:r w:rsidR="00047851">
        <w:t xml:space="preserve">mancato </w:t>
      </w:r>
      <w:r w:rsidR="001E5539">
        <w:t xml:space="preserve">adempimento </w:t>
      </w:r>
      <w:r w:rsidR="0000535F">
        <w:t xml:space="preserve">relativa al 2017 </w:t>
      </w:r>
      <w:r w:rsidR="001E5539">
        <w:t xml:space="preserve">(18,7%) </w:t>
      </w:r>
      <w:r w:rsidR="005D1239">
        <w:t xml:space="preserve">è </w:t>
      </w:r>
      <w:r w:rsidR="001E5539">
        <w:t xml:space="preserve">simile alla stima </w:t>
      </w:r>
      <w:r w:rsidR="0000535F">
        <w:t>d</w:t>
      </w:r>
      <w:r w:rsidR="00660671">
        <w:t xml:space="preserve">i sprechi e inefficienze (19%) </w:t>
      </w:r>
      <w:r w:rsidR="001E5539">
        <w:t>de</w:t>
      </w:r>
      <w:r w:rsidR="0000535F">
        <w:t xml:space="preserve">ll’ultimo </w:t>
      </w:r>
      <w:hyperlink r:id="rId8" w:history="1">
        <w:r w:rsidR="0000535F" w:rsidRPr="003C7C53">
          <w:rPr>
            <w:rStyle w:val="Collegamentoipertestuale"/>
          </w:rPr>
          <w:t>Rapporto</w:t>
        </w:r>
        <w:r w:rsidR="003C7C53" w:rsidRPr="003C7C53">
          <w:rPr>
            <w:rStyle w:val="Collegamentoipertestuale"/>
          </w:rPr>
          <w:t xml:space="preserve"> GIMBE sulla sostenibilità del SSN</w:t>
        </w:r>
      </w:hyperlink>
      <w:r w:rsidR="00D27D32">
        <w:t>.</w:t>
      </w:r>
    </w:p>
    <w:p w:rsidR="00EB44A6" w:rsidRDefault="00384929" w:rsidP="0090298A">
      <w:pPr>
        <w:pStyle w:val="Paragrafoelenco"/>
        <w:numPr>
          <w:ilvl w:val="0"/>
          <w:numId w:val="25"/>
        </w:numPr>
        <w:spacing w:after="80" w:line="276" w:lineRule="auto"/>
        <w:jc w:val="both"/>
      </w:pPr>
      <w:r>
        <w:t>Il trend 2010-2017 documenta un aumento progressivo</w:t>
      </w:r>
      <w:r w:rsidR="003466A8">
        <w:t xml:space="preserve"> </w:t>
      </w:r>
      <w:r>
        <w:t xml:space="preserve">della percentuale di adempimento: dal 64,1% </w:t>
      </w:r>
      <w:r w:rsidR="009860D5">
        <w:t xml:space="preserve">del </w:t>
      </w:r>
      <w:r>
        <w:t>2010 all’81,3</w:t>
      </w:r>
      <w:r w:rsidR="007C7106">
        <w:t>%</w:t>
      </w:r>
      <w:r>
        <w:t xml:space="preserve"> </w:t>
      </w:r>
      <w:r w:rsidR="00134187">
        <w:t xml:space="preserve">del </w:t>
      </w:r>
      <w:r w:rsidR="005A14D6">
        <w:t xml:space="preserve">2017, un </w:t>
      </w:r>
      <w:r w:rsidR="003466A8">
        <w:t xml:space="preserve">miglioramento </w:t>
      </w:r>
      <w:r w:rsidR="001E5539">
        <w:t xml:space="preserve">inevitabilmente </w:t>
      </w:r>
      <w:r w:rsidR="005D1239">
        <w:t>sovrastima</w:t>
      </w:r>
      <w:r w:rsidR="003466A8">
        <w:t>to</w:t>
      </w:r>
      <w:r w:rsidR="005D1239">
        <w:t xml:space="preserve"> </w:t>
      </w:r>
      <w:r w:rsidR="001E5539">
        <w:t xml:space="preserve">per il </w:t>
      </w:r>
      <w:r w:rsidR="00437372">
        <w:t>fenomeno di “</w:t>
      </w:r>
      <w:r w:rsidR="00437372" w:rsidRPr="00C05841">
        <w:t>appiattimento</w:t>
      </w:r>
      <w:r w:rsidR="00437372">
        <w:t xml:space="preserve">” della </w:t>
      </w:r>
      <w:r w:rsidR="00405FA5">
        <w:t xml:space="preserve">griglia </w:t>
      </w:r>
      <w:r w:rsidR="00437372">
        <w:t>LEA</w:t>
      </w:r>
      <w:r w:rsidR="001E5539">
        <w:t xml:space="preserve"> </w:t>
      </w:r>
      <w:r w:rsidR="00437A73">
        <w:t xml:space="preserve">sopra </w:t>
      </w:r>
      <w:r w:rsidR="001E5539">
        <w:t>descritto</w:t>
      </w:r>
      <w:r w:rsidR="00437372">
        <w:t>.</w:t>
      </w:r>
    </w:p>
    <w:p w:rsidR="00384929" w:rsidRDefault="00384929" w:rsidP="0090298A">
      <w:pPr>
        <w:pStyle w:val="Paragrafoelenco"/>
        <w:numPr>
          <w:ilvl w:val="0"/>
          <w:numId w:val="25"/>
        </w:numPr>
        <w:spacing w:after="80" w:line="276" w:lineRule="auto"/>
        <w:jc w:val="both"/>
      </w:pPr>
      <w:r>
        <w:t>Regioni e Province aut</w:t>
      </w:r>
      <w:r w:rsidR="00865888">
        <w:t>onome non sottoposte a verifica</w:t>
      </w:r>
      <w:r>
        <w:t xml:space="preserve"> </w:t>
      </w:r>
      <w:r w:rsidR="001E5539">
        <w:t xml:space="preserve">degli adempimenti </w:t>
      </w:r>
      <w:r w:rsidR="00865888">
        <w:t>hanno performance peggiori</w:t>
      </w:r>
      <w:r w:rsidR="00C0576F">
        <w:t xml:space="preserve"> </w:t>
      </w:r>
      <w:r w:rsidR="00134187">
        <w:t xml:space="preserve">di </w:t>
      </w:r>
      <w:r w:rsidR="0048762D">
        <w:t xml:space="preserve">quelle </w:t>
      </w:r>
      <w:r w:rsidR="00C0576F">
        <w:t>sottoposte a verifica</w:t>
      </w:r>
      <w:r w:rsidR="007C7106">
        <w:t>, ma con trend di miglioramento molto differenti: in particolare</w:t>
      </w:r>
      <w:r w:rsidR="005D1239">
        <w:t xml:space="preserve">, </w:t>
      </w:r>
      <w:r w:rsidR="003466A8">
        <w:t>se</w:t>
      </w:r>
      <w:r w:rsidR="005D1239">
        <w:t xml:space="preserve"> </w:t>
      </w:r>
      <w:r w:rsidR="00405FA5">
        <w:t>Friuli-Venezia Giulia</w:t>
      </w:r>
      <w:r w:rsidR="00C0576F">
        <w:t xml:space="preserve"> e Provi</w:t>
      </w:r>
      <w:r w:rsidR="005A14D6">
        <w:t>nci</w:t>
      </w:r>
      <w:r w:rsidR="00C0576F">
        <w:t>a autonoma di Trento</w:t>
      </w:r>
      <w:r w:rsidR="005D1239">
        <w:t xml:space="preserve"> </w:t>
      </w:r>
      <w:r w:rsidR="001E5539">
        <w:t>hanno raggiunto</w:t>
      </w:r>
      <w:r w:rsidR="003466A8">
        <w:t xml:space="preserve"> </w:t>
      </w:r>
      <w:r w:rsidR="005D1239">
        <w:t>elevate percentuali di adempimento,</w:t>
      </w:r>
      <w:r w:rsidR="007C7106">
        <w:t xml:space="preserve"> </w:t>
      </w:r>
      <w:r w:rsidR="00134187">
        <w:t xml:space="preserve">le performance di </w:t>
      </w:r>
      <w:r w:rsidR="00295B4C">
        <w:t xml:space="preserve">Valle D’Aosta e </w:t>
      </w:r>
      <w:r w:rsidR="0048762D">
        <w:t>soprattutto</w:t>
      </w:r>
      <w:r w:rsidR="00295B4C">
        <w:t xml:space="preserve"> </w:t>
      </w:r>
      <w:r w:rsidR="001E5539">
        <w:t xml:space="preserve">di </w:t>
      </w:r>
      <w:r w:rsidR="007C7106">
        <w:t xml:space="preserve">Sardegna e Provincia </w:t>
      </w:r>
      <w:r w:rsidR="00405FA5">
        <w:t xml:space="preserve">autonoma </w:t>
      </w:r>
      <w:r w:rsidR="007C7106">
        <w:t xml:space="preserve">di Bolzano </w:t>
      </w:r>
      <w:r w:rsidR="00134187">
        <w:t>sono</w:t>
      </w:r>
      <w:r w:rsidR="001E5539">
        <w:t xml:space="preserve"> </w:t>
      </w:r>
      <w:r w:rsidR="00134187">
        <w:t xml:space="preserve">allineate a </w:t>
      </w:r>
      <w:r w:rsidR="00437372">
        <w:t xml:space="preserve">quelle </w:t>
      </w:r>
      <w:r w:rsidR="003466A8">
        <w:t>delle Regioni in Piano di rientro</w:t>
      </w:r>
      <w:r w:rsidR="00437372">
        <w:t xml:space="preserve">. </w:t>
      </w:r>
    </w:p>
    <w:p w:rsidR="00865888" w:rsidRDefault="005A14D6" w:rsidP="0090298A">
      <w:pPr>
        <w:pStyle w:val="Paragrafoelenco"/>
        <w:numPr>
          <w:ilvl w:val="0"/>
          <w:numId w:val="25"/>
        </w:numPr>
        <w:spacing w:after="80" w:line="276" w:lineRule="auto"/>
        <w:jc w:val="both"/>
      </w:pPr>
      <w:r>
        <w:t>S</w:t>
      </w:r>
      <w:r w:rsidR="00437372">
        <w:t xml:space="preserve">olo 11 Regioni </w:t>
      </w:r>
      <w:r w:rsidR="00C0576F">
        <w:t xml:space="preserve">superano </w:t>
      </w:r>
      <w:r>
        <w:t xml:space="preserve">la soglia di adempimento cumulativo del 75% </w:t>
      </w:r>
      <w:r w:rsidR="00437372">
        <w:t xml:space="preserve">e, ad eccezione della Basilicata, sono tutte </w:t>
      </w:r>
      <w:r w:rsidR="0000535F">
        <w:t xml:space="preserve">situate </w:t>
      </w:r>
      <w:r w:rsidR="00C0576F">
        <w:t xml:space="preserve">al </w:t>
      </w:r>
      <w:r w:rsidR="00B675A1">
        <w:t xml:space="preserve">Centro-Nord, confermando </w:t>
      </w:r>
      <w:r w:rsidR="00134187">
        <w:t xml:space="preserve">sia la “questione meridionale” in sanità, sia </w:t>
      </w:r>
      <w:r w:rsidR="00B675A1">
        <w:t>la sostanziale inefficacia dei Piani di rientro nel migliorare l’erogazione dei LEA</w:t>
      </w:r>
      <w:r w:rsidR="00CF4B38">
        <w:t xml:space="preserve">. </w:t>
      </w:r>
    </w:p>
    <w:p w:rsidR="00C8437C" w:rsidRPr="00B00D21" w:rsidRDefault="00C8437C" w:rsidP="0090298A">
      <w:pPr>
        <w:spacing w:after="80"/>
        <w:jc w:val="both"/>
        <w:rPr>
          <w:sz w:val="2"/>
        </w:rPr>
      </w:pPr>
    </w:p>
    <w:p w:rsidR="00B675A1" w:rsidRDefault="008C4A1C" w:rsidP="0090298A">
      <w:pPr>
        <w:spacing w:after="80"/>
        <w:jc w:val="both"/>
      </w:pPr>
      <w:r>
        <w:t>«</w:t>
      </w:r>
      <w:r w:rsidR="00F078CD">
        <w:t xml:space="preserve">Questa valutazione pluriennale </w:t>
      </w:r>
      <w:r w:rsidR="00D71C4B">
        <w:t>–</w:t>
      </w:r>
      <w:r w:rsidR="00F078CD">
        <w:t xml:space="preserve"> commenta </w:t>
      </w:r>
      <w:r w:rsidR="00D71C4B">
        <w:t>Cartabellotta –</w:t>
      </w:r>
      <w:r w:rsidR="00B675A1">
        <w:t xml:space="preserve"> </w:t>
      </w:r>
      <w:r w:rsidR="007A2CB8">
        <w:t xml:space="preserve">fornisce </w:t>
      </w:r>
      <w:r w:rsidR="00EE155C">
        <w:t>numerosi</w:t>
      </w:r>
      <w:r w:rsidR="007A2CB8">
        <w:t xml:space="preserve"> spunti </w:t>
      </w:r>
      <w:r w:rsidR="00F078CD">
        <w:t xml:space="preserve">per </w:t>
      </w:r>
      <w:r w:rsidR="00983340">
        <w:t xml:space="preserve">definire le regole di implementazione del </w:t>
      </w:r>
      <w:r w:rsidR="007A2CB8">
        <w:t>Nuovo Sistema di Garanzia che</w:t>
      </w:r>
      <w:r w:rsidR="00405FA5">
        <w:t xml:space="preserve">, salvo ulteriori ritardi, </w:t>
      </w:r>
      <w:r w:rsidR="007A2CB8">
        <w:t xml:space="preserve">dovrebbe mandare in soffitta la </w:t>
      </w:r>
      <w:r w:rsidR="00405FA5">
        <w:t xml:space="preserve">griglia </w:t>
      </w:r>
      <w:r w:rsidR="007A2CB8">
        <w:t>LEA</w:t>
      </w:r>
      <w:r w:rsidR="00B675A1" w:rsidRPr="00B675A1">
        <w:t xml:space="preserve"> </w:t>
      </w:r>
      <w:r w:rsidR="00B675A1">
        <w:t>dal gennaio 2020</w:t>
      </w:r>
      <w:r w:rsidR="007A2CB8" w:rsidRPr="00B20DA5">
        <w:rPr>
          <w:color w:val="000000" w:themeColor="text1"/>
        </w:rPr>
        <w:t>»</w:t>
      </w:r>
      <w:r w:rsidR="007A2CB8">
        <w:t>.</w:t>
      </w:r>
      <w:r w:rsidR="003466A8">
        <w:t xml:space="preserve"> </w:t>
      </w:r>
      <w:r w:rsidR="007A2CB8">
        <w:t xml:space="preserve">Infatti, se il </w:t>
      </w:r>
      <w:r w:rsidR="00C511C6">
        <w:t xml:space="preserve">nuovo strumento </w:t>
      </w:r>
      <w:r w:rsidR="007A2CB8">
        <w:t xml:space="preserve">è stato sviluppato per </w:t>
      </w:r>
      <w:r w:rsidR="00E3714F">
        <w:t xml:space="preserve">meglio </w:t>
      </w:r>
      <w:r w:rsidR="003466A8">
        <w:t xml:space="preserve">documentare </w:t>
      </w:r>
      <w:r w:rsidR="007A2CB8">
        <w:t>gli adempimenti</w:t>
      </w:r>
      <w:r w:rsidR="003466A8">
        <w:t xml:space="preserve"> </w:t>
      </w:r>
      <w:r w:rsidR="00FA551E">
        <w:t>regionali</w:t>
      </w:r>
      <w:r w:rsidR="007A2CB8">
        <w:t>,</w:t>
      </w:r>
      <w:r w:rsidR="003466A8">
        <w:t xml:space="preserve"> </w:t>
      </w:r>
      <w:r w:rsidR="001E5539">
        <w:t xml:space="preserve">oltre a mettere in atto strategie per </w:t>
      </w:r>
      <w:r w:rsidR="007A2CB8">
        <w:t>prevenirne il progressivo “appiattimento”</w:t>
      </w:r>
      <w:r w:rsidR="001E5539">
        <w:t>,</w:t>
      </w:r>
      <w:r w:rsidR="00C0576F">
        <w:t xml:space="preserve"> </w:t>
      </w:r>
      <w:r w:rsidR="003466A8">
        <w:t xml:space="preserve">è necessario </w:t>
      </w:r>
      <w:r w:rsidR="007A2CB8">
        <w:t>utilizzar</w:t>
      </w:r>
      <w:r w:rsidR="00E3714F">
        <w:t xml:space="preserve">lo </w:t>
      </w:r>
      <w:r w:rsidR="007A2CB8">
        <w:t>per rivedere interamente le modalità di attuazione dei Piani di rientro e permettere al Ministero di effettuare “interventi chirurgici</w:t>
      </w:r>
      <w:r w:rsidR="00CE485B">
        <w:t>”</w:t>
      </w:r>
      <w:r w:rsidR="007A2CB8">
        <w:t xml:space="preserve"> selettivi sia per struttura, sia per indicatore, </w:t>
      </w:r>
      <w:r w:rsidR="00323A6E">
        <w:t xml:space="preserve">evitando di </w:t>
      </w:r>
      <w:r w:rsidR="007A2CB8">
        <w:t>paralizzare</w:t>
      </w:r>
      <w:r w:rsidR="001E5539">
        <w:t xml:space="preserve"> con lo strumento del commissariamento</w:t>
      </w:r>
      <w:r w:rsidR="007A2CB8">
        <w:t xml:space="preserve"> </w:t>
      </w:r>
      <w:r w:rsidR="001E5539">
        <w:t>l’</w:t>
      </w:r>
      <w:r w:rsidR="007A2CB8">
        <w:t xml:space="preserve">intera Regione.  </w:t>
      </w:r>
    </w:p>
    <w:p w:rsidR="00134187" w:rsidRDefault="00E31033" w:rsidP="0090298A">
      <w:pPr>
        <w:spacing w:after="80"/>
        <w:jc w:val="both"/>
      </w:pPr>
      <w:r>
        <w:t>«</w:t>
      </w:r>
      <w:r w:rsidR="00B675A1">
        <w:t xml:space="preserve">In un momento storico per il SSN </w:t>
      </w:r>
      <w:r w:rsidR="007027C3">
        <w:t>– conclude Cartabellotta –</w:t>
      </w:r>
      <w:r w:rsidR="00B675A1">
        <w:t xml:space="preserve"> </w:t>
      </w:r>
      <w:r w:rsidR="004A6690">
        <w:t xml:space="preserve">in cui </w:t>
      </w:r>
      <w:r w:rsidR="00B675A1">
        <w:t xml:space="preserve">il Ministro Speranza </w:t>
      </w:r>
      <w:r w:rsidR="00516CBE">
        <w:t xml:space="preserve">ha ripetutamente </w:t>
      </w:r>
      <w:r w:rsidR="00B675A1">
        <w:t>dichiarato che l’articolo 32 è il faro del suo programma di Governo</w:t>
      </w:r>
      <w:r w:rsidR="001E5539">
        <w:t>,</w:t>
      </w:r>
      <w:r w:rsidR="00B675A1">
        <w:t xml:space="preserve"> </w:t>
      </w:r>
      <w:r w:rsidR="005E2147">
        <w:t>i dati d</w:t>
      </w:r>
      <w:r w:rsidR="00516CBE">
        <w:t xml:space="preserve">el nostro report parlano chiaro. </w:t>
      </w:r>
      <w:r w:rsidR="005E2147">
        <w:t xml:space="preserve"> </w:t>
      </w:r>
      <w:r w:rsidR="001D3CD2">
        <w:t xml:space="preserve">Senza una nuova </w:t>
      </w:r>
      <w:r w:rsidR="00787EA0">
        <w:t>stagione</w:t>
      </w:r>
      <w:r w:rsidR="001D3CD2">
        <w:t xml:space="preserve"> di collaborazione politica</w:t>
      </w:r>
      <w:r w:rsidR="000608EB">
        <w:t xml:space="preserve"> tra Governo e Regioni e</w:t>
      </w:r>
      <w:r w:rsidR="00B675A1">
        <w:t xml:space="preserve"> un radicale cambio di rotta per monitorare l’erogazione dei LEA</w:t>
      </w:r>
      <w:r w:rsidR="001D3CD2">
        <w:t>, sarà impossibile</w:t>
      </w:r>
      <w:r w:rsidR="00B675A1">
        <w:t xml:space="preserve"> </w:t>
      </w:r>
      <w:r w:rsidR="00390FDF">
        <w:t>ridurre diseguaglianze e mobilità sanitaria</w:t>
      </w:r>
      <w:r w:rsidR="001D3CD2">
        <w:t xml:space="preserve"> e </w:t>
      </w:r>
      <w:r w:rsidR="000608EB" w:rsidRPr="000608EB">
        <w:t xml:space="preserve">il diritto alla tutela della salute </w:t>
      </w:r>
      <w:r w:rsidR="001D3CD2">
        <w:t xml:space="preserve">continuerà ad essere </w:t>
      </w:r>
      <w:r w:rsidR="000608EB" w:rsidRPr="000608EB">
        <w:t xml:space="preserve">legato al </w:t>
      </w:r>
      <w:r w:rsidR="000608EB">
        <w:t>CAP</w:t>
      </w:r>
      <w:r w:rsidR="000608EB" w:rsidRPr="000608EB">
        <w:t xml:space="preserve"> di residenza delle persone</w:t>
      </w:r>
      <w:r w:rsidRPr="00B20DA5">
        <w:rPr>
          <w:color w:val="000000" w:themeColor="text1"/>
        </w:rPr>
        <w:t>»</w:t>
      </w:r>
      <w:r>
        <w:t>.</w:t>
      </w:r>
    </w:p>
    <w:p w:rsidR="006061F4" w:rsidRDefault="00FB5470" w:rsidP="00A12432">
      <w:pPr>
        <w:spacing w:after="80"/>
        <w:jc w:val="center"/>
      </w:pPr>
      <w:hyperlink r:id="rId9" w:history="1">
        <w:r w:rsidR="00F92F95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344.25pt">
              <v:imagedata r:id="rId10" o:title="tabella"/>
            </v:shape>
          </w:pict>
        </w:r>
      </w:hyperlink>
    </w:p>
    <w:p w:rsidR="006061F4" w:rsidRDefault="00FB5470" w:rsidP="006061F4">
      <w:pPr>
        <w:spacing w:after="80"/>
        <w:jc w:val="center"/>
      </w:pPr>
      <w:hyperlink r:id="rId11" w:history="1">
        <w:r w:rsidR="006061F4" w:rsidRPr="006061F4">
          <w:rPr>
            <w:rStyle w:val="Collegamentoipertestuale"/>
          </w:rPr>
          <w:t>(Scarica la tabella in alta qualità)</w:t>
        </w:r>
      </w:hyperlink>
    </w:p>
    <w:p w:rsidR="006061F4" w:rsidRDefault="00FB5470" w:rsidP="00A12432">
      <w:pPr>
        <w:spacing w:after="80"/>
        <w:jc w:val="center"/>
      </w:pPr>
      <w:hyperlink r:id="rId12" w:history="1">
        <w:r w:rsidR="00F92F95">
          <w:pict>
            <v:shape id="_x0000_i1026" type="#_x0000_t75" style="width:481.5pt;height:264pt">
              <v:imagedata r:id="rId13" o:title="Adempimenti_LEA_2010_2017"/>
            </v:shape>
          </w:pict>
        </w:r>
      </w:hyperlink>
    </w:p>
    <w:p w:rsidR="006061F4" w:rsidRDefault="00FB5470" w:rsidP="006061F4">
      <w:pPr>
        <w:spacing w:after="80"/>
        <w:jc w:val="center"/>
      </w:pPr>
      <w:hyperlink r:id="rId14" w:history="1">
        <w:r w:rsidR="006061F4" w:rsidRPr="006061F4">
          <w:rPr>
            <w:rStyle w:val="Collegamentoipertestuale"/>
          </w:rPr>
          <w:t>(Scarica l’immagine in alta qualità)</w:t>
        </w:r>
      </w:hyperlink>
    </w:p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b/>
          <w:bCs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DC2A0C" w:rsidRPr="00E3755B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B242B8" w:rsidRPr="006B4075" w:rsidRDefault="00DC2A0C" w:rsidP="00DC2A0C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15" w:history="1">
        <w:r w:rsidR="005C387E" w:rsidRPr="001A0A87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sectPr w:rsidR="00B242B8" w:rsidRPr="006B4075" w:rsidSect="00282D8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70" w:rsidRDefault="00FB5470" w:rsidP="00ED0CFD">
      <w:pPr>
        <w:spacing w:after="0" w:line="240" w:lineRule="auto"/>
      </w:pPr>
      <w:r>
        <w:separator/>
      </w:r>
    </w:p>
  </w:endnote>
  <w:endnote w:type="continuationSeparator" w:id="0">
    <w:p w:rsidR="00FB5470" w:rsidRDefault="00FB5470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95" w:rsidRDefault="00F92F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95" w:rsidRDefault="00F92F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95" w:rsidRDefault="00F92F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70" w:rsidRDefault="00FB5470" w:rsidP="00ED0CFD">
      <w:pPr>
        <w:spacing w:after="0" w:line="240" w:lineRule="auto"/>
      </w:pPr>
      <w:r>
        <w:separator/>
      </w:r>
    </w:p>
  </w:footnote>
  <w:footnote w:type="continuationSeparator" w:id="0">
    <w:p w:rsidR="00FB5470" w:rsidRDefault="00FB5470" w:rsidP="00ED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95" w:rsidRDefault="00F92F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A6" w:rsidRPr="00F92F95" w:rsidRDefault="00EB44A6" w:rsidP="00F92F95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F95" w:rsidRDefault="00F92F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45F36"/>
    <w:multiLevelType w:val="hybridMultilevel"/>
    <w:tmpl w:val="E2D46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DD0B44"/>
    <w:multiLevelType w:val="hybridMultilevel"/>
    <w:tmpl w:val="C164CB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8321E"/>
    <w:multiLevelType w:val="hybridMultilevel"/>
    <w:tmpl w:val="CBDEBA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47641A"/>
    <w:multiLevelType w:val="hybridMultilevel"/>
    <w:tmpl w:val="B914B6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C3FE91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457D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94E2B"/>
    <w:multiLevelType w:val="hybridMultilevel"/>
    <w:tmpl w:val="2CCA8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4633F9"/>
    <w:multiLevelType w:val="hybridMultilevel"/>
    <w:tmpl w:val="275A20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B22CEB"/>
    <w:multiLevelType w:val="hybridMultilevel"/>
    <w:tmpl w:val="CA4448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AA3D3A"/>
    <w:multiLevelType w:val="hybridMultilevel"/>
    <w:tmpl w:val="4A8E91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7A5BB8"/>
    <w:multiLevelType w:val="hybridMultilevel"/>
    <w:tmpl w:val="C6787F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21"/>
  </w:num>
  <w:num w:numId="5">
    <w:abstractNumId w:val="11"/>
  </w:num>
  <w:num w:numId="6">
    <w:abstractNumId w:val="7"/>
  </w:num>
  <w:num w:numId="7">
    <w:abstractNumId w:val="16"/>
  </w:num>
  <w:num w:numId="8">
    <w:abstractNumId w:val="15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22"/>
  </w:num>
  <w:num w:numId="17">
    <w:abstractNumId w:val="18"/>
  </w:num>
  <w:num w:numId="18">
    <w:abstractNumId w:val="5"/>
  </w:num>
  <w:num w:numId="19">
    <w:abstractNumId w:val="17"/>
  </w:num>
  <w:num w:numId="20">
    <w:abstractNumId w:val="24"/>
  </w:num>
  <w:num w:numId="21">
    <w:abstractNumId w:val="6"/>
  </w:num>
  <w:num w:numId="22">
    <w:abstractNumId w:val="10"/>
  </w:num>
  <w:num w:numId="23">
    <w:abstractNumId w:val="8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7FC"/>
    <w:rsid w:val="00001697"/>
    <w:rsid w:val="00001ED8"/>
    <w:rsid w:val="00002C1B"/>
    <w:rsid w:val="00003744"/>
    <w:rsid w:val="00003F78"/>
    <w:rsid w:val="00004B0A"/>
    <w:rsid w:val="00005126"/>
    <w:rsid w:val="00005316"/>
    <w:rsid w:val="0000535F"/>
    <w:rsid w:val="00005B25"/>
    <w:rsid w:val="00006555"/>
    <w:rsid w:val="00010498"/>
    <w:rsid w:val="00010D71"/>
    <w:rsid w:val="0001111C"/>
    <w:rsid w:val="0001384A"/>
    <w:rsid w:val="00013DFA"/>
    <w:rsid w:val="0001439D"/>
    <w:rsid w:val="000151FC"/>
    <w:rsid w:val="00015D8E"/>
    <w:rsid w:val="00017968"/>
    <w:rsid w:val="00017FB4"/>
    <w:rsid w:val="000202BF"/>
    <w:rsid w:val="00020F55"/>
    <w:rsid w:val="00021D7F"/>
    <w:rsid w:val="00022079"/>
    <w:rsid w:val="00023462"/>
    <w:rsid w:val="00023D8A"/>
    <w:rsid w:val="00024DD4"/>
    <w:rsid w:val="00027E3B"/>
    <w:rsid w:val="000314E4"/>
    <w:rsid w:val="000340C1"/>
    <w:rsid w:val="00035404"/>
    <w:rsid w:val="00035633"/>
    <w:rsid w:val="00042141"/>
    <w:rsid w:val="0004410A"/>
    <w:rsid w:val="00047851"/>
    <w:rsid w:val="00047ED7"/>
    <w:rsid w:val="0005080C"/>
    <w:rsid w:val="0005142F"/>
    <w:rsid w:val="000514FD"/>
    <w:rsid w:val="00051CA7"/>
    <w:rsid w:val="00051F7A"/>
    <w:rsid w:val="00052910"/>
    <w:rsid w:val="0005402C"/>
    <w:rsid w:val="00054250"/>
    <w:rsid w:val="00055180"/>
    <w:rsid w:val="00055AE9"/>
    <w:rsid w:val="00055D27"/>
    <w:rsid w:val="000602AA"/>
    <w:rsid w:val="000608EB"/>
    <w:rsid w:val="00060A59"/>
    <w:rsid w:val="0006440E"/>
    <w:rsid w:val="000657A8"/>
    <w:rsid w:val="000662E3"/>
    <w:rsid w:val="00067B8F"/>
    <w:rsid w:val="000707B3"/>
    <w:rsid w:val="00070F64"/>
    <w:rsid w:val="000715A9"/>
    <w:rsid w:val="000718E4"/>
    <w:rsid w:val="00071F0A"/>
    <w:rsid w:val="00071F88"/>
    <w:rsid w:val="00072570"/>
    <w:rsid w:val="000733A7"/>
    <w:rsid w:val="0007355C"/>
    <w:rsid w:val="00073870"/>
    <w:rsid w:val="00074788"/>
    <w:rsid w:val="000771A4"/>
    <w:rsid w:val="00077EF1"/>
    <w:rsid w:val="00080E0C"/>
    <w:rsid w:val="000825EA"/>
    <w:rsid w:val="00082EDA"/>
    <w:rsid w:val="000905D1"/>
    <w:rsid w:val="00090A39"/>
    <w:rsid w:val="00090B7E"/>
    <w:rsid w:val="000927C7"/>
    <w:rsid w:val="000935F1"/>
    <w:rsid w:val="00094560"/>
    <w:rsid w:val="000965BE"/>
    <w:rsid w:val="000A05CF"/>
    <w:rsid w:val="000A0FC3"/>
    <w:rsid w:val="000A1367"/>
    <w:rsid w:val="000A2084"/>
    <w:rsid w:val="000A5E93"/>
    <w:rsid w:val="000A62A9"/>
    <w:rsid w:val="000A7B66"/>
    <w:rsid w:val="000A7ED4"/>
    <w:rsid w:val="000B07B0"/>
    <w:rsid w:val="000B185F"/>
    <w:rsid w:val="000B1C52"/>
    <w:rsid w:val="000B3126"/>
    <w:rsid w:val="000B7985"/>
    <w:rsid w:val="000C344B"/>
    <w:rsid w:val="000C544C"/>
    <w:rsid w:val="000C6130"/>
    <w:rsid w:val="000D02E4"/>
    <w:rsid w:val="000D17FB"/>
    <w:rsid w:val="000D18C7"/>
    <w:rsid w:val="000D1E30"/>
    <w:rsid w:val="000D25AC"/>
    <w:rsid w:val="000D44D4"/>
    <w:rsid w:val="000D5771"/>
    <w:rsid w:val="000D5893"/>
    <w:rsid w:val="000D68E6"/>
    <w:rsid w:val="000D7252"/>
    <w:rsid w:val="000E109B"/>
    <w:rsid w:val="000E2E4F"/>
    <w:rsid w:val="000E4E47"/>
    <w:rsid w:val="000E7194"/>
    <w:rsid w:val="000E7CC2"/>
    <w:rsid w:val="000F0BBD"/>
    <w:rsid w:val="000F10F8"/>
    <w:rsid w:val="000F39EF"/>
    <w:rsid w:val="000F43FE"/>
    <w:rsid w:val="000F5C0F"/>
    <w:rsid w:val="000F7FF9"/>
    <w:rsid w:val="0010059E"/>
    <w:rsid w:val="0010173D"/>
    <w:rsid w:val="001033BE"/>
    <w:rsid w:val="00107096"/>
    <w:rsid w:val="00110237"/>
    <w:rsid w:val="00111D08"/>
    <w:rsid w:val="0011205F"/>
    <w:rsid w:val="001139A6"/>
    <w:rsid w:val="00113D4A"/>
    <w:rsid w:val="00113F3C"/>
    <w:rsid w:val="00115344"/>
    <w:rsid w:val="001167D9"/>
    <w:rsid w:val="00123196"/>
    <w:rsid w:val="00123378"/>
    <w:rsid w:val="001246E0"/>
    <w:rsid w:val="00125C6A"/>
    <w:rsid w:val="001262A5"/>
    <w:rsid w:val="001317CF"/>
    <w:rsid w:val="001329EC"/>
    <w:rsid w:val="00134187"/>
    <w:rsid w:val="00134C8C"/>
    <w:rsid w:val="00143689"/>
    <w:rsid w:val="00143A68"/>
    <w:rsid w:val="00144408"/>
    <w:rsid w:val="001446A5"/>
    <w:rsid w:val="00144F94"/>
    <w:rsid w:val="001458FE"/>
    <w:rsid w:val="00145BA6"/>
    <w:rsid w:val="001471AF"/>
    <w:rsid w:val="00150EF3"/>
    <w:rsid w:val="0015229D"/>
    <w:rsid w:val="00153328"/>
    <w:rsid w:val="0015377E"/>
    <w:rsid w:val="00156B19"/>
    <w:rsid w:val="001608BE"/>
    <w:rsid w:val="00162FBC"/>
    <w:rsid w:val="0016375C"/>
    <w:rsid w:val="001654A5"/>
    <w:rsid w:val="00170760"/>
    <w:rsid w:val="0017089E"/>
    <w:rsid w:val="00170B46"/>
    <w:rsid w:val="00171767"/>
    <w:rsid w:val="00171A25"/>
    <w:rsid w:val="00173764"/>
    <w:rsid w:val="0017405D"/>
    <w:rsid w:val="001748BA"/>
    <w:rsid w:val="00183DFD"/>
    <w:rsid w:val="00185AEF"/>
    <w:rsid w:val="00191F59"/>
    <w:rsid w:val="00192DAD"/>
    <w:rsid w:val="00192F75"/>
    <w:rsid w:val="00193B5E"/>
    <w:rsid w:val="00193F19"/>
    <w:rsid w:val="001A3E0D"/>
    <w:rsid w:val="001A3E96"/>
    <w:rsid w:val="001A6181"/>
    <w:rsid w:val="001B39C4"/>
    <w:rsid w:val="001B3B52"/>
    <w:rsid w:val="001B3C16"/>
    <w:rsid w:val="001C00F9"/>
    <w:rsid w:val="001C067C"/>
    <w:rsid w:val="001C48AA"/>
    <w:rsid w:val="001C51E2"/>
    <w:rsid w:val="001C60EA"/>
    <w:rsid w:val="001C611E"/>
    <w:rsid w:val="001C6D0F"/>
    <w:rsid w:val="001C7F98"/>
    <w:rsid w:val="001D04DB"/>
    <w:rsid w:val="001D0E41"/>
    <w:rsid w:val="001D153D"/>
    <w:rsid w:val="001D19F1"/>
    <w:rsid w:val="001D3CD2"/>
    <w:rsid w:val="001D3E45"/>
    <w:rsid w:val="001D4CE8"/>
    <w:rsid w:val="001D79A8"/>
    <w:rsid w:val="001E0E42"/>
    <w:rsid w:val="001E2726"/>
    <w:rsid w:val="001E2C19"/>
    <w:rsid w:val="001E35BC"/>
    <w:rsid w:val="001E469E"/>
    <w:rsid w:val="001E5245"/>
    <w:rsid w:val="001E5539"/>
    <w:rsid w:val="001E6902"/>
    <w:rsid w:val="001E6CBA"/>
    <w:rsid w:val="001F1C35"/>
    <w:rsid w:val="001F20B8"/>
    <w:rsid w:val="001F3354"/>
    <w:rsid w:val="001F7833"/>
    <w:rsid w:val="00201481"/>
    <w:rsid w:val="002020DB"/>
    <w:rsid w:val="00202A01"/>
    <w:rsid w:val="0020435A"/>
    <w:rsid w:val="002056E1"/>
    <w:rsid w:val="00206047"/>
    <w:rsid w:val="002073BD"/>
    <w:rsid w:val="00207B90"/>
    <w:rsid w:val="00210158"/>
    <w:rsid w:val="00210291"/>
    <w:rsid w:val="0021155E"/>
    <w:rsid w:val="002137D4"/>
    <w:rsid w:val="00213F7C"/>
    <w:rsid w:val="0021535A"/>
    <w:rsid w:val="002158D6"/>
    <w:rsid w:val="002206B0"/>
    <w:rsid w:val="00220C3E"/>
    <w:rsid w:val="00220C89"/>
    <w:rsid w:val="00223C4D"/>
    <w:rsid w:val="00223F01"/>
    <w:rsid w:val="00224E88"/>
    <w:rsid w:val="00226406"/>
    <w:rsid w:val="00230A6C"/>
    <w:rsid w:val="00230F09"/>
    <w:rsid w:val="00232C0A"/>
    <w:rsid w:val="00233EF5"/>
    <w:rsid w:val="002349C3"/>
    <w:rsid w:val="0023771D"/>
    <w:rsid w:val="00241AB7"/>
    <w:rsid w:val="00241CF7"/>
    <w:rsid w:val="00241E9C"/>
    <w:rsid w:val="00242077"/>
    <w:rsid w:val="00244FA4"/>
    <w:rsid w:val="0025050F"/>
    <w:rsid w:val="0025076D"/>
    <w:rsid w:val="0025100A"/>
    <w:rsid w:val="00251AC2"/>
    <w:rsid w:val="002551A1"/>
    <w:rsid w:val="002616ED"/>
    <w:rsid w:val="0026358E"/>
    <w:rsid w:val="00265B05"/>
    <w:rsid w:val="00266561"/>
    <w:rsid w:val="00266D0D"/>
    <w:rsid w:val="00266E0C"/>
    <w:rsid w:val="00266E1A"/>
    <w:rsid w:val="00271105"/>
    <w:rsid w:val="002723FC"/>
    <w:rsid w:val="002726D7"/>
    <w:rsid w:val="00272C42"/>
    <w:rsid w:val="00272D7A"/>
    <w:rsid w:val="00272FAB"/>
    <w:rsid w:val="00273235"/>
    <w:rsid w:val="0027468B"/>
    <w:rsid w:val="00275042"/>
    <w:rsid w:val="00276B9E"/>
    <w:rsid w:val="00277114"/>
    <w:rsid w:val="0028259D"/>
    <w:rsid w:val="00282655"/>
    <w:rsid w:val="00282D8A"/>
    <w:rsid w:val="00282DAE"/>
    <w:rsid w:val="00287105"/>
    <w:rsid w:val="00291602"/>
    <w:rsid w:val="00292151"/>
    <w:rsid w:val="00292718"/>
    <w:rsid w:val="0029392F"/>
    <w:rsid w:val="00294338"/>
    <w:rsid w:val="00295B4C"/>
    <w:rsid w:val="00297583"/>
    <w:rsid w:val="002A2034"/>
    <w:rsid w:val="002A3232"/>
    <w:rsid w:val="002A3B41"/>
    <w:rsid w:val="002A51D6"/>
    <w:rsid w:val="002B0785"/>
    <w:rsid w:val="002B12E6"/>
    <w:rsid w:val="002B1329"/>
    <w:rsid w:val="002B2D4D"/>
    <w:rsid w:val="002B5964"/>
    <w:rsid w:val="002B7295"/>
    <w:rsid w:val="002B7C26"/>
    <w:rsid w:val="002B7F03"/>
    <w:rsid w:val="002B7F6A"/>
    <w:rsid w:val="002C0B56"/>
    <w:rsid w:val="002C0B93"/>
    <w:rsid w:val="002C0F1B"/>
    <w:rsid w:val="002C2712"/>
    <w:rsid w:val="002C3123"/>
    <w:rsid w:val="002C433C"/>
    <w:rsid w:val="002C4810"/>
    <w:rsid w:val="002C4FFE"/>
    <w:rsid w:val="002C5187"/>
    <w:rsid w:val="002C5517"/>
    <w:rsid w:val="002C58B9"/>
    <w:rsid w:val="002D1A9D"/>
    <w:rsid w:val="002D1D66"/>
    <w:rsid w:val="002D2C39"/>
    <w:rsid w:val="002D3092"/>
    <w:rsid w:val="002D3943"/>
    <w:rsid w:val="002D3B2F"/>
    <w:rsid w:val="002D4D2D"/>
    <w:rsid w:val="002D4E05"/>
    <w:rsid w:val="002D61E1"/>
    <w:rsid w:val="002D6E9B"/>
    <w:rsid w:val="002D7409"/>
    <w:rsid w:val="002E0F88"/>
    <w:rsid w:val="002E2D66"/>
    <w:rsid w:val="002E33A2"/>
    <w:rsid w:val="002E3609"/>
    <w:rsid w:val="002E5382"/>
    <w:rsid w:val="002E5E3C"/>
    <w:rsid w:val="002F07F4"/>
    <w:rsid w:val="002F2E6A"/>
    <w:rsid w:val="002F3045"/>
    <w:rsid w:val="002F323D"/>
    <w:rsid w:val="002F605D"/>
    <w:rsid w:val="00300EF7"/>
    <w:rsid w:val="00301EA6"/>
    <w:rsid w:val="003045CF"/>
    <w:rsid w:val="00305113"/>
    <w:rsid w:val="003059C3"/>
    <w:rsid w:val="00305B3F"/>
    <w:rsid w:val="00310511"/>
    <w:rsid w:val="00310654"/>
    <w:rsid w:val="0031227A"/>
    <w:rsid w:val="00313AD1"/>
    <w:rsid w:val="00315407"/>
    <w:rsid w:val="00315734"/>
    <w:rsid w:val="00315E74"/>
    <w:rsid w:val="0031648A"/>
    <w:rsid w:val="00316F39"/>
    <w:rsid w:val="0031755E"/>
    <w:rsid w:val="00321C3D"/>
    <w:rsid w:val="0032231F"/>
    <w:rsid w:val="00323A55"/>
    <w:rsid w:val="00323A6E"/>
    <w:rsid w:val="003257BC"/>
    <w:rsid w:val="00325A97"/>
    <w:rsid w:val="00325E98"/>
    <w:rsid w:val="003268D1"/>
    <w:rsid w:val="00327AF0"/>
    <w:rsid w:val="00331B49"/>
    <w:rsid w:val="00331F29"/>
    <w:rsid w:val="00332812"/>
    <w:rsid w:val="00333A1D"/>
    <w:rsid w:val="00333B9B"/>
    <w:rsid w:val="0033460B"/>
    <w:rsid w:val="00334F92"/>
    <w:rsid w:val="0033752D"/>
    <w:rsid w:val="00341F1E"/>
    <w:rsid w:val="00341F7E"/>
    <w:rsid w:val="0034291E"/>
    <w:rsid w:val="00343639"/>
    <w:rsid w:val="00344C5E"/>
    <w:rsid w:val="003456F8"/>
    <w:rsid w:val="003466A8"/>
    <w:rsid w:val="00347675"/>
    <w:rsid w:val="00347BD4"/>
    <w:rsid w:val="00347CD5"/>
    <w:rsid w:val="00350B80"/>
    <w:rsid w:val="00351462"/>
    <w:rsid w:val="00352BE2"/>
    <w:rsid w:val="00353E36"/>
    <w:rsid w:val="003554E0"/>
    <w:rsid w:val="00355DBF"/>
    <w:rsid w:val="003563F4"/>
    <w:rsid w:val="003576FF"/>
    <w:rsid w:val="00357F80"/>
    <w:rsid w:val="0036304D"/>
    <w:rsid w:val="003631B2"/>
    <w:rsid w:val="00363764"/>
    <w:rsid w:val="0036462F"/>
    <w:rsid w:val="00364E32"/>
    <w:rsid w:val="003653A3"/>
    <w:rsid w:val="00365753"/>
    <w:rsid w:val="00366C45"/>
    <w:rsid w:val="00367A4B"/>
    <w:rsid w:val="00370768"/>
    <w:rsid w:val="003764CF"/>
    <w:rsid w:val="00380A73"/>
    <w:rsid w:val="00382F29"/>
    <w:rsid w:val="00384929"/>
    <w:rsid w:val="00384AF1"/>
    <w:rsid w:val="00385A79"/>
    <w:rsid w:val="00386385"/>
    <w:rsid w:val="00386FD8"/>
    <w:rsid w:val="00387555"/>
    <w:rsid w:val="0039006E"/>
    <w:rsid w:val="00390FDF"/>
    <w:rsid w:val="003913D4"/>
    <w:rsid w:val="00391AD2"/>
    <w:rsid w:val="00393B9D"/>
    <w:rsid w:val="00394823"/>
    <w:rsid w:val="003955A0"/>
    <w:rsid w:val="003978DA"/>
    <w:rsid w:val="003A0A46"/>
    <w:rsid w:val="003A13B4"/>
    <w:rsid w:val="003A25F6"/>
    <w:rsid w:val="003A54E4"/>
    <w:rsid w:val="003A72AE"/>
    <w:rsid w:val="003A7632"/>
    <w:rsid w:val="003A7E5F"/>
    <w:rsid w:val="003B2F64"/>
    <w:rsid w:val="003B3381"/>
    <w:rsid w:val="003B4A8D"/>
    <w:rsid w:val="003B5D17"/>
    <w:rsid w:val="003B5D7A"/>
    <w:rsid w:val="003B72C4"/>
    <w:rsid w:val="003C2417"/>
    <w:rsid w:val="003C276B"/>
    <w:rsid w:val="003C3404"/>
    <w:rsid w:val="003C48B6"/>
    <w:rsid w:val="003C75E1"/>
    <w:rsid w:val="003C7C53"/>
    <w:rsid w:val="003D4318"/>
    <w:rsid w:val="003D66C8"/>
    <w:rsid w:val="003E0375"/>
    <w:rsid w:val="003E2D1E"/>
    <w:rsid w:val="003E4422"/>
    <w:rsid w:val="003E44CA"/>
    <w:rsid w:val="003E4FF7"/>
    <w:rsid w:val="003E6B2B"/>
    <w:rsid w:val="003F1AAC"/>
    <w:rsid w:val="003F1E08"/>
    <w:rsid w:val="003F35EF"/>
    <w:rsid w:val="003F3B35"/>
    <w:rsid w:val="003F470F"/>
    <w:rsid w:val="003F52F6"/>
    <w:rsid w:val="00401C52"/>
    <w:rsid w:val="004052B2"/>
    <w:rsid w:val="00405C0C"/>
    <w:rsid w:val="00405FA5"/>
    <w:rsid w:val="00406018"/>
    <w:rsid w:val="004063A2"/>
    <w:rsid w:val="00406B12"/>
    <w:rsid w:val="00412253"/>
    <w:rsid w:val="00413B2C"/>
    <w:rsid w:val="00414C6F"/>
    <w:rsid w:val="00415770"/>
    <w:rsid w:val="00415FC6"/>
    <w:rsid w:val="0041646F"/>
    <w:rsid w:val="0041674A"/>
    <w:rsid w:val="00423B3B"/>
    <w:rsid w:val="004247AF"/>
    <w:rsid w:val="00425913"/>
    <w:rsid w:val="00426A88"/>
    <w:rsid w:val="00430270"/>
    <w:rsid w:val="00434060"/>
    <w:rsid w:val="00434921"/>
    <w:rsid w:val="004350BB"/>
    <w:rsid w:val="00436E44"/>
    <w:rsid w:val="00437372"/>
    <w:rsid w:val="00437569"/>
    <w:rsid w:val="00437A73"/>
    <w:rsid w:val="0044012A"/>
    <w:rsid w:val="00440D4A"/>
    <w:rsid w:val="00441D52"/>
    <w:rsid w:val="004420B7"/>
    <w:rsid w:val="00442312"/>
    <w:rsid w:val="00442E37"/>
    <w:rsid w:val="004432F6"/>
    <w:rsid w:val="00446F85"/>
    <w:rsid w:val="004522B4"/>
    <w:rsid w:val="00452338"/>
    <w:rsid w:val="00452891"/>
    <w:rsid w:val="00452900"/>
    <w:rsid w:val="00452A5B"/>
    <w:rsid w:val="00452CED"/>
    <w:rsid w:val="00453B39"/>
    <w:rsid w:val="00455F5E"/>
    <w:rsid w:val="00456AC9"/>
    <w:rsid w:val="00461BFF"/>
    <w:rsid w:val="00462A50"/>
    <w:rsid w:val="00462F9C"/>
    <w:rsid w:val="004636F5"/>
    <w:rsid w:val="0046775E"/>
    <w:rsid w:val="00467895"/>
    <w:rsid w:val="0047038B"/>
    <w:rsid w:val="00470740"/>
    <w:rsid w:val="00470D92"/>
    <w:rsid w:val="0047196C"/>
    <w:rsid w:val="0047354E"/>
    <w:rsid w:val="004752D9"/>
    <w:rsid w:val="00475510"/>
    <w:rsid w:val="0047586E"/>
    <w:rsid w:val="00477873"/>
    <w:rsid w:val="00480E9D"/>
    <w:rsid w:val="00481D22"/>
    <w:rsid w:val="00483720"/>
    <w:rsid w:val="0048588A"/>
    <w:rsid w:val="0048762D"/>
    <w:rsid w:val="00490397"/>
    <w:rsid w:val="00490692"/>
    <w:rsid w:val="00490EB3"/>
    <w:rsid w:val="004952D7"/>
    <w:rsid w:val="004955F7"/>
    <w:rsid w:val="00495941"/>
    <w:rsid w:val="00496108"/>
    <w:rsid w:val="004971EA"/>
    <w:rsid w:val="004A07FF"/>
    <w:rsid w:val="004A0830"/>
    <w:rsid w:val="004A0E05"/>
    <w:rsid w:val="004A11C7"/>
    <w:rsid w:val="004A18D7"/>
    <w:rsid w:val="004A1B26"/>
    <w:rsid w:val="004A1BFD"/>
    <w:rsid w:val="004A31D4"/>
    <w:rsid w:val="004A5489"/>
    <w:rsid w:val="004A6690"/>
    <w:rsid w:val="004B3935"/>
    <w:rsid w:val="004B447F"/>
    <w:rsid w:val="004B4909"/>
    <w:rsid w:val="004B7ACD"/>
    <w:rsid w:val="004C17CB"/>
    <w:rsid w:val="004C2236"/>
    <w:rsid w:val="004C285E"/>
    <w:rsid w:val="004C6784"/>
    <w:rsid w:val="004C679F"/>
    <w:rsid w:val="004D0248"/>
    <w:rsid w:val="004D0BDF"/>
    <w:rsid w:val="004D3A0B"/>
    <w:rsid w:val="004D469E"/>
    <w:rsid w:val="004D4B67"/>
    <w:rsid w:val="004D5883"/>
    <w:rsid w:val="004D7E74"/>
    <w:rsid w:val="004E003D"/>
    <w:rsid w:val="004E186A"/>
    <w:rsid w:val="004E4BBD"/>
    <w:rsid w:val="004E5018"/>
    <w:rsid w:val="004E5EFE"/>
    <w:rsid w:val="004F0578"/>
    <w:rsid w:val="004F064A"/>
    <w:rsid w:val="004F0FD3"/>
    <w:rsid w:val="004F1480"/>
    <w:rsid w:val="004F1688"/>
    <w:rsid w:val="004F3FEB"/>
    <w:rsid w:val="004F58E5"/>
    <w:rsid w:val="004F60EA"/>
    <w:rsid w:val="004F69B2"/>
    <w:rsid w:val="004F751C"/>
    <w:rsid w:val="005014CD"/>
    <w:rsid w:val="00501793"/>
    <w:rsid w:val="00505B7D"/>
    <w:rsid w:val="00505BFD"/>
    <w:rsid w:val="00510AA1"/>
    <w:rsid w:val="00511D86"/>
    <w:rsid w:val="00511E6F"/>
    <w:rsid w:val="00512868"/>
    <w:rsid w:val="00512879"/>
    <w:rsid w:val="00514990"/>
    <w:rsid w:val="00516CBE"/>
    <w:rsid w:val="00517170"/>
    <w:rsid w:val="00520362"/>
    <w:rsid w:val="005203E7"/>
    <w:rsid w:val="005204CB"/>
    <w:rsid w:val="00520DE3"/>
    <w:rsid w:val="00521D99"/>
    <w:rsid w:val="00522C6E"/>
    <w:rsid w:val="00522E26"/>
    <w:rsid w:val="00524F37"/>
    <w:rsid w:val="00525952"/>
    <w:rsid w:val="00525AEA"/>
    <w:rsid w:val="00525FA8"/>
    <w:rsid w:val="005272D8"/>
    <w:rsid w:val="00530B7D"/>
    <w:rsid w:val="00530BB4"/>
    <w:rsid w:val="00530FB0"/>
    <w:rsid w:val="00531550"/>
    <w:rsid w:val="00531EA2"/>
    <w:rsid w:val="005320A9"/>
    <w:rsid w:val="00532D90"/>
    <w:rsid w:val="00533B76"/>
    <w:rsid w:val="00533D48"/>
    <w:rsid w:val="005341D8"/>
    <w:rsid w:val="005419E9"/>
    <w:rsid w:val="00541AF9"/>
    <w:rsid w:val="00541DC9"/>
    <w:rsid w:val="00542475"/>
    <w:rsid w:val="005440CF"/>
    <w:rsid w:val="00550ABA"/>
    <w:rsid w:val="00550C9C"/>
    <w:rsid w:val="005516A8"/>
    <w:rsid w:val="00552A16"/>
    <w:rsid w:val="00553691"/>
    <w:rsid w:val="00560786"/>
    <w:rsid w:val="0056133B"/>
    <w:rsid w:val="005614F9"/>
    <w:rsid w:val="0056268F"/>
    <w:rsid w:val="00563BF8"/>
    <w:rsid w:val="0056476B"/>
    <w:rsid w:val="00565187"/>
    <w:rsid w:val="00565C3C"/>
    <w:rsid w:val="00570339"/>
    <w:rsid w:val="0057085B"/>
    <w:rsid w:val="00570C6B"/>
    <w:rsid w:val="00572C27"/>
    <w:rsid w:val="00572DF6"/>
    <w:rsid w:val="00573141"/>
    <w:rsid w:val="00573388"/>
    <w:rsid w:val="00573998"/>
    <w:rsid w:val="00573AB6"/>
    <w:rsid w:val="005751E5"/>
    <w:rsid w:val="00577D77"/>
    <w:rsid w:val="00580725"/>
    <w:rsid w:val="0058232D"/>
    <w:rsid w:val="00586657"/>
    <w:rsid w:val="005869A8"/>
    <w:rsid w:val="00586FDE"/>
    <w:rsid w:val="00587C9B"/>
    <w:rsid w:val="00590653"/>
    <w:rsid w:val="00590E5A"/>
    <w:rsid w:val="00591F4E"/>
    <w:rsid w:val="005932A0"/>
    <w:rsid w:val="00593F06"/>
    <w:rsid w:val="005940D1"/>
    <w:rsid w:val="00594E34"/>
    <w:rsid w:val="00595A0C"/>
    <w:rsid w:val="005961FF"/>
    <w:rsid w:val="005A14D6"/>
    <w:rsid w:val="005A2BB7"/>
    <w:rsid w:val="005A3A8D"/>
    <w:rsid w:val="005A4ADA"/>
    <w:rsid w:val="005A6F2F"/>
    <w:rsid w:val="005B0CBF"/>
    <w:rsid w:val="005B0FDD"/>
    <w:rsid w:val="005B13AE"/>
    <w:rsid w:val="005B283E"/>
    <w:rsid w:val="005B2FB4"/>
    <w:rsid w:val="005B3A18"/>
    <w:rsid w:val="005B41AA"/>
    <w:rsid w:val="005B4E45"/>
    <w:rsid w:val="005B4F61"/>
    <w:rsid w:val="005B4FAC"/>
    <w:rsid w:val="005B57EF"/>
    <w:rsid w:val="005B5EC9"/>
    <w:rsid w:val="005B678F"/>
    <w:rsid w:val="005B7A0D"/>
    <w:rsid w:val="005C110E"/>
    <w:rsid w:val="005C387E"/>
    <w:rsid w:val="005C455A"/>
    <w:rsid w:val="005C5968"/>
    <w:rsid w:val="005C726D"/>
    <w:rsid w:val="005C7593"/>
    <w:rsid w:val="005C7707"/>
    <w:rsid w:val="005D0B90"/>
    <w:rsid w:val="005D1239"/>
    <w:rsid w:val="005D133C"/>
    <w:rsid w:val="005D33D4"/>
    <w:rsid w:val="005D5CF2"/>
    <w:rsid w:val="005D7FCA"/>
    <w:rsid w:val="005E1232"/>
    <w:rsid w:val="005E2147"/>
    <w:rsid w:val="005E485F"/>
    <w:rsid w:val="005E548F"/>
    <w:rsid w:val="005F26F4"/>
    <w:rsid w:val="005F7B05"/>
    <w:rsid w:val="006002AA"/>
    <w:rsid w:val="006007E1"/>
    <w:rsid w:val="006032BF"/>
    <w:rsid w:val="00605C92"/>
    <w:rsid w:val="00606191"/>
    <w:rsid w:val="006061F4"/>
    <w:rsid w:val="006068C6"/>
    <w:rsid w:val="00606B8C"/>
    <w:rsid w:val="00611C67"/>
    <w:rsid w:val="00614076"/>
    <w:rsid w:val="0061416D"/>
    <w:rsid w:val="00614E5A"/>
    <w:rsid w:val="00616235"/>
    <w:rsid w:val="00617A65"/>
    <w:rsid w:val="00617D4B"/>
    <w:rsid w:val="00620244"/>
    <w:rsid w:val="00620B8A"/>
    <w:rsid w:val="00621D5A"/>
    <w:rsid w:val="0062275E"/>
    <w:rsid w:val="0062554E"/>
    <w:rsid w:val="006258B1"/>
    <w:rsid w:val="00630230"/>
    <w:rsid w:val="00630E03"/>
    <w:rsid w:val="00631233"/>
    <w:rsid w:val="0063197E"/>
    <w:rsid w:val="00633A2F"/>
    <w:rsid w:val="006342E2"/>
    <w:rsid w:val="00636EB6"/>
    <w:rsid w:val="00640B8B"/>
    <w:rsid w:val="006414FA"/>
    <w:rsid w:val="00643E28"/>
    <w:rsid w:val="0064462F"/>
    <w:rsid w:val="00645153"/>
    <w:rsid w:val="00646223"/>
    <w:rsid w:val="00646F8C"/>
    <w:rsid w:val="00650304"/>
    <w:rsid w:val="00650FCC"/>
    <w:rsid w:val="0065129B"/>
    <w:rsid w:val="00652002"/>
    <w:rsid w:val="00652695"/>
    <w:rsid w:val="006529FA"/>
    <w:rsid w:val="00652E50"/>
    <w:rsid w:val="00653501"/>
    <w:rsid w:val="006535F8"/>
    <w:rsid w:val="00653B45"/>
    <w:rsid w:val="0065498E"/>
    <w:rsid w:val="00657085"/>
    <w:rsid w:val="00660671"/>
    <w:rsid w:val="00660E10"/>
    <w:rsid w:val="006638E0"/>
    <w:rsid w:val="00663B7B"/>
    <w:rsid w:val="00663CB0"/>
    <w:rsid w:val="00663DAE"/>
    <w:rsid w:val="006640FF"/>
    <w:rsid w:val="006655DA"/>
    <w:rsid w:val="00666C23"/>
    <w:rsid w:val="00666CF5"/>
    <w:rsid w:val="00667145"/>
    <w:rsid w:val="006673BB"/>
    <w:rsid w:val="00670AD9"/>
    <w:rsid w:val="00670C35"/>
    <w:rsid w:val="006713C2"/>
    <w:rsid w:val="00671713"/>
    <w:rsid w:val="00673AE4"/>
    <w:rsid w:val="0067402D"/>
    <w:rsid w:val="00675E56"/>
    <w:rsid w:val="0067632C"/>
    <w:rsid w:val="00677A85"/>
    <w:rsid w:val="006805A5"/>
    <w:rsid w:val="00680B51"/>
    <w:rsid w:val="006821E3"/>
    <w:rsid w:val="0068386F"/>
    <w:rsid w:val="00683FFA"/>
    <w:rsid w:val="0068552E"/>
    <w:rsid w:val="00687427"/>
    <w:rsid w:val="00687C90"/>
    <w:rsid w:val="00693518"/>
    <w:rsid w:val="00694602"/>
    <w:rsid w:val="00694C51"/>
    <w:rsid w:val="006955E7"/>
    <w:rsid w:val="00695B31"/>
    <w:rsid w:val="00695FCF"/>
    <w:rsid w:val="006965ED"/>
    <w:rsid w:val="00696965"/>
    <w:rsid w:val="00696DDA"/>
    <w:rsid w:val="006A135C"/>
    <w:rsid w:val="006A46FB"/>
    <w:rsid w:val="006A4CFB"/>
    <w:rsid w:val="006A52B4"/>
    <w:rsid w:val="006A71A2"/>
    <w:rsid w:val="006A7D1E"/>
    <w:rsid w:val="006B2505"/>
    <w:rsid w:val="006B4075"/>
    <w:rsid w:val="006B5E7A"/>
    <w:rsid w:val="006B6817"/>
    <w:rsid w:val="006B6956"/>
    <w:rsid w:val="006C09E3"/>
    <w:rsid w:val="006C0EFE"/>
    <w:rsid w:val="006C1110"/>
    <w:rsid w:val="006C2CFA"/>
    <w:rsid w:val="006C3D7A"/>
    <w:rsid w:val="006C41FF"/>
    <w:rsid w:val="006C4E62"/>
    <w:rsid w:val="006C514B"/>
    <w:rsid w:val="006D165F"/>
    <w:rsid w:val="006D30E8"/>
    <w:rsid w:val="006D3E4C"/>
    <w:rsid w:val="006D502F"/>
    <w:rsid w:val="006D5067"/>
    <w:rsid w:val="006D549D"/>
    <w:rsid w:val="006D5AAC"/>
    <w:rsid w:val="006E00DA"/>
    <w:rsid w:val="006E031B"/>
    <w:rsid w:val="006E0BE5"/>
    <w:rsid w:val="006E14D4"/>
    <w:rsid w:val="006E19A5"/>
    <w:rsid w:val="006E1E2F"/>
    <w:rsid w:val="006E1EA3"/>
    <w:rsid w:val="006E265E"/>
    <w:rsid w:val="006E27FD"/>
    <w:rsid w:val="006E3A2A"/>
    <w:rsid w:val="006E3EA3"/>
    <w:rsid w:val="006E4DAD"/>
    <w:rsid w:val="006E6CC2"/>
    <w:rsid w:val="006E7D1F"/>
    <w:rsid w:val="006F0C20"/>
    <w:rsid w:val="006F39C8"/>
    <w:rsid w:val="006F41BB"/>
    <w:rsid w:val="006F5C05"/>
    <w:rsid w:val="006F5E1D"/>
    <w:rsid w:val="006F5E63"/>
    <w:rsid w:val="006F6ADA"/>
    <w:rsid w:val="006F707F"/>
    <w:rsid w:val="00701CC2"/>
    <w:rsid w:val="007027C3"/>
    <w:rsid w:val="0070382E"/>
    <w:rsid w:val="00704AF2"/>
    <w:rsid w:val="00704F88"/>
    <w:rsid w:val="0070621C"/>
    <w:rsid w:val="00706682"/>
    <w:rsid w:val="00707993"/>
    <w:rsid w:val="0071123A"/>
    <w:rsid w:val="00711E25"/>
    <w:rsid w:val="0071252F"/>
    <w:rsid w:val="00712A2C"/>
    <w:rsid w:val="007138CC"/>
    <w:rsid w:val="0071439B"/>
    <w:rsid w:val="007204A2"/>
    <w:rsid w:val="00720BA2"/>
    <w:rsid w:val="0072122E"/>
    <w:rsid w:val="00723351"/>
    <w:rsid w:val="00723B85"/>
    <w:rsid w:val="00723E4C"/>
    <w:rsid w:val="007250A2"/>
    <w:rsid w:val="007257B8"/>
    <w:rsid w:val="00725B95"/>
    <w:rsid w:val="007260E1"/>
    <w:rsid w:val="00727341"/>
    <w:rsid w:val="00727A83"/>
    <w:rsid w:val="00727B49"/>
    <w:rsid w:val="00730E03"/>
    <w:rsid w:val="0073174A"/>
    <w:rsid w:val="007333BE"/>
    <w:rsid w:val="007335A8"/>
    <w:rsid w:val="00737013"/>
    <w:rsid w:val="0073764E"/>
    <w:rsid w:val="00737DDD"/>
    <w:rsid w:val="00741123"/>
    <w:rsid w:val="00743430"/>
    <w:rsid w:val="00744544"/>
    <w:rsid w:val="00744F05"/>
    <w:rsid w:val="00750239"/>
    <w:rsid w:val="0075099D"/>
    <w:rsid w:val="00751807"/>
    <w:rsid w:val="0075219A"/>
    <w:rsid w:val="007537ED"/>
    <w:rsid w:val="00754B1B"/>
    <w:rsid w:val="00754F30"/>
    <w:rsid w:val="0075698F"/>
    <w:rsid w:val="00756B84"/>
    <w:rsid w:val="00757A75"/>
    <w:rsid w:val="00760136"/>
    <w:rsid w:val="00760496"/>
    <w:rsid w:val="0076053B"/>
    <w:rsid w:val="0076327B"/>
    <w:rsid w:val="00763FB0"/>
    <w:rsid w:val="0076674A"/>
    <w:rsid w:val="0077041A"/>
    <w:rsid w:val="00770D2D"/>
    <w:rsid w:val="00772C0B"/>
    <w:rsid w:val="007738D0"/>
    <w:rsid w:val="00773EC0"/>
    <w:rsid w:val="00774E33"/>
    <w:rsid w:val="0077567A"/>
    <w:rsid w:val="00775DA1"/>
    <w:rsid w:val="00780153"/>
    <w:rsid w:val="00780533"/>
    <w:rsid w:val="00780C2C"/>
    <w:rsid w:val="0078579B"/>
    <w:rsid w:val="007866FF"/>
    <w:rsid w:val="0078737D"/>
    <w:rsid w:val="00787EA0"/>
    <w:rsid w:val="00790464"/>
    <w:rsid w:val="00792F39"/>
    <w:rsid w:val="007939B6"/>
    <w:rsid w:val="00794F61"/>
    <w:rsid w:val="007964C7"/>
    <w:rsid w:val="007A2CB8"/>
    <w:rsid w:val="007A4969"/>
    <w:rsid w:val="007A6D9A"/>
    <w:rsid w:val="007B01D2"/>
    <w:rsid w:val="007B05F7"/>
    <w:rsid w:val="007B1924"/>
    <w:rsid w:val="007B199A"/>
    <w:rsid w:val="007B1BA6"/>
    <w:rsid w:val="007B48F8"/>
    <w:rsid w:val="007B4C9D"/>
    <w:rsid w:val="007B55B5"/>
    <w:rsid w:val="007B5624"/>
    <w:rsid w:val="007B6E73"/>
    <w:rsid w:val="007C0939"/>
    <w:rsid w:val="007C0C20"/>
    <w:rsid w:val="007C3D92"/>
    <w:rsid w:val="007C5420"/>
    <w:rsid w:val="007C7106"/>
    <w:rsid w:val="007D1008"/>
    <w:rsid w:val="007D1505"/>
    <w:rsid w:val="007D1B67"/>
    <w:rsid w:val="007D2672"/>
    <w:rsid w:val="007D29DD"/>
    <w:rsid w:val="007D315D"/>
    <w:rsid w:val="007D4B6B"/>
    <w:rsid w:val="007D62DC"/>
    <w:rsid w:val="007D714C"/>
    <w:rsid w:val="007D7930"/>
    <w:rsid w:val="007E0965"/>
    <w:rsid w:val="007E0BA2"/>
    <w:rsid w:val="007E312F"/>
    <w:rsid w:val="007E45BB"/>
    <w:rsid w:val="007E5588"/>
    <w:rsid w:val="007E5E04"/>
    <w:rsid w:val="007E728E"/>
    <w:rsid w:val="007E784C"/>
    <w:rsid w:val="007F130A"/>
    <w:rsid w:val="007F1864"/>
    <w:rsid w:val="007F2BD9"/>
    <w:rsid w:val="007F3912"/>
    <w:rsid w:val="007F3D4F"/>
    <w:rsid w:val="007F46C8"/>
    <w:rsid w:val="007F5895"/>
    <w:rsid w:val="007F5D18"/>
    <w:rsid w:val="007F7C88"/>
    <w:rsid w:val="00802069"/>
    <w:rsid w:val="008025DC"/>
    <w:rsid w:val="00802B47"/>
    <w:rsid w:val="00802D51"/>
    <w:rsid w:val="00803C62"/>
    <w:rsid w:val="00804056"/>
    <w:rsid w:val="00804BDB"/>
    <w:rsid w:val="00806EC8"/>
    <w:rsid w:val="008105B4"/>
    <w:rsid w:val="00812D5B"/>
    <w:rsid w:val="00813C6C"/>
    <w:rsid w:val="00814CE9"/>
    <w:rsid w:val="00815D73"/>
    <w:rsid w:val="00815EBF"/>
    <w:rsid w:val="00816569"/>
    <w:rsid w:val="008176D9"/>
    <w:rsid w:val="00821168"/>
    <w:rsid w:val="00821721"/>
    <w:rsid w:val="00823FD5"/>
    <w:rsid w:val="008246EF"/>
    <w:rsid w:val="00824CD0"/>
    <w:rsid w:val="00825BCB"/>
    <w:rsid w:val="0082609D"/>
    <w:rsid w:val="0082651A"/>
    <w:rsid w:val="008268DC"/>
    <w:rsid w:val="008270A6"/>
    <w:rsid w:val="00827BB7"/>
    <w:rsid w:val="0083089C"/>
    <w:rsid w:val="00830CA8"/>
    <w:rsid w:val="00831276"/>
    <w:rsid w:val="00831988"/>
    <w:rsid w:val="00832233"/>
    <w:rsid w:val="00832BDC"/>
    <w:rsid w:val="00833474"/>
    <w:rsid w:val="0083364D"/>
    <w:rsid w:val="008340F1"/>
    <w:rsid w:val="0083420C"/>
    <w:rsid w:val="00834A4A"/>
    <w:rsid w:val="0083539A"/>
    <w:rsid w:val="0083564F"/>
    <w:rsid w:val="008356C6"/>
    <w:rsid w:val="00835BAF"/>
    <w:rsid w:val="0083673F"/>
    <w:rsid w:val="008403E5"/>
    <w:rsid w:val="008409F8"/>
    <w:rsid w:val="008426A9"/>
    <w:rsid w:val="00844028"/>
    <w:rsid w:val="00844290"/>
    <w:rsid w:val="0084493B"/>
    <w:rsid w:val="00845D51"/>
    <w:rsid w:val="00845E94"/>
    <w:rsid w:val="00846222"/>
    <w:rsid w:val="008469EE"/>
    <w:rsid w:val="008513F9"/>
    <w:rsid w:val="00851BCE"/>
    <w:rsid w:val="008521CA"/>
    <w:rsid w:val="00852402"/>
    <w:rsid w:val="00854CE5"/>
    <w:rsid w:val="00856033"/>
    <w:rsid w:val="008566B3"/>
    <w:rsid w:val="008566D3"/>
    <w:rsid w:val="00856765"/>
    <w:rsid w:val="008624D0"/>
    <w:rsid w:val="0086297F"/>
    <w:rsid w:val="00864979"/>
    <w:rsid w:val="00864FF7"/>
    <w:rsid w:val="00865069"/>
    <w:rsid w:val="00865888"/>
    <w:rsid w:val="00867101"/>
    <w:rsid w:val="00867113"/>
    <w:rsid w:val="00867AEB"/>
    <w:rsid w:val="00877037"/>
    <w:rsid w:val="008775A4"/>
    <w:rsid w:val="00881122"/>
    <w:rsid w:val="00881AF4"/>
    <w:rsid w:val="00882476"/>
    <w:rsid w:val="008834FE"/>
    <w:rsid w:val="00883BC1"/>
    <w:rsid w:val="00884AD1"/>
    <w:rsid w:val="00884AE7"/>
    <w:rsid w:val="0088673B"/>
    <w:rsid w:val="008878B8"/>
    <w:rsid w:val="00890405"/>
    <w:rsid w:val="00890E3C"/>
    <w:rsid w:val="008920DC"/>
    <w:rsid w:val="008956D1"/>
    <w:rsid w:val="008957EF"/>
    <w:rsid w:val="00895806"/>
    <w:rsid w:val="008972B2"/>
    <w:rsid w:val="008976A1"/>
    <w:rsid w:val="008A0E25"/>
    <w:rsid w:val="008A1766"/>
    <w:rsid w:val="008A36D7"/>
    <w:rsid w:val="008A592A"/>
    <w:rsid w:val="008A639D"/>
    <w:rsid w:val="008A7AFF"/>
    <w:rsid w:val="008B1F09"/>
    <w:rsid w:val="008B2BA7"/>
    <w:rsid w:val="008B3494"/>
    <w:rsid w:val="008B505C"/>
    <w:rsid w:val="008B7022"/>
    <w:rsid w:val="008B7198"/>
    <w:rsid w:val="008C08BA"/>
    <w:rsid w:val="008C0A82"/>
    <w:rsid w:val="008C2356"/>
    <w:rsid w:val="008C29D7"/>
    <w:rsid w:val="008C4980"/>
    <w:rsid w:val="008C4A1C"/>
    <w:rsid w:val="008C5798"/>
    <w:rsid w:val="008D06CB"/>
    <w:rsid w:val="008D2BDD"/>
    <w:rsid w:val="008D2CD5"/>
    <w:rsid w:val="008D2EE7"/>
    <w:rsid w:val="008D33F8"/>
    <w:rsid w:val="008D4BC6"/>
    <w:rsid w:val="008D4E8C"/>
    <w:rsid w:val="008E1615"/>
    <w:rsid w:val="008E4235"/>
    <w:rsid w:val="008E4AD4"/>
    <w:rsid w:val="008E5A69"/>
    <w:rsid w:val="008F0D6A"/>
    <w:rsid w:val="008F1906"/>
    <w:rsid w:val="008F1B08"/>
    <w:rsid w:val="008F2550"/>
    <w:rsid w:val="008F2E54"/>
    <w:rsid w:val="008F3B48"/>
    <w:rsid w:val="008F4A94"/>
    <w:rsid w:val="008F52F1"/>
    <w:rsid w:val="008F6563"/>
    <w:rsid w:val="008F6975"/>
    <w:rsid w:val="008F72C4"/>
    <w:rsid w:val="00900A5F"/>
    <w:rsid w:val="00902865"/>
    <w:rsid w:val="0090298A"/>
    <w:rsid w:val="00902D10"/>
    <w:rsid w:val="00904E80"/>
    <w:rsid w:val="0090623C"/>
    <w:rsid w:val="00906DD1"/>
    <w:rsid w:val="00912AE4"/>
    <w:rsid w:val="00914310"/>
    <w:rsid w:val="00916F07"/>
    <w:rsid w:val="009171F5"/>
    <w:rsid w:val="00917BA0"/>
    <w:rsid w:val="00917D94"/>
    <w:rsid w:val="00920382"/>
    <w:rsid w:val="00920E58"/>
    <w:rsid w:val="00921057"/>
    <w:rsid w:val="00921E42"/>
    <w:rsid w:val="009221E2"/>
    <w:rsid w:val="009226F4"/>
    <w:rsid w:val="00923A38"/>
    <w:rsid w:val="00924122"/>
    <w:rsid w:val="009241E0"/>
    <w:rsid w:val="00924583"/>
    <w:rsid w:val="009265E3"/>
    <w:rsid w:val="009269CC"/>
    <w:rsid w:val="00930CCE"/>
    <w:rsid w:val="00931A17"/>
    <w:rsid w:val="00933206"/>
    <w:rsid w:val="00934C1A"/>
    <w:rsid w:val="009353AC"/>
    <w:rsid w:val="009360C0"/>
    <w:rsid w:val="00936208"/>
    <w:rsid w:val="0093653B"/>
    <w:rsid w:val="00936FF7"/>
    <w:rsid w:val="00937550"/>
    <w:rsid w:val="0094391B"/>
    <w:rsid w:val="00945596"/>
    <w:rsid w:val="00946D07"/>
    <w:rsid w:val="00947084"/>
    <w:rsid w:val="00947FBD"/>
    <w:rsid w:val="00952489"/>
    <w:rsid w:val="00954B63"/>
    <w:rsid w:val="00957526"/>
    <w:rsid w:val="00957D24"/>
    <w:rsid w:val="0096002A"/>
    <w:rsid w:val="0096003B"/>
    <w:rsid w:val="009630B4"/>
    <w:rsid w:val="009631A8"/>
    <w:rsid w:val="009650B3"/>
    <w:rsid w:val="00965432"/>
    <w:rsid w:val="00965964"/>
    <w:rsid w:val="0097162D"/>
    <w:rsid w:val="009722DB"/>
    <w:rsid w:val="00972A01"/>
    <w:rsid w:val="00973B94"/>
    <w:rsid w:val="00975859"/>
    <w:rsid w:val="00976F80"/>
    <w:rsid w:val="009805F2"/>
    <w:rsid w:val="00981A5E"/>
    <w:rsid w:val="00983340"/>
    <w:rsid w:val="0098563F"/>
    <w:rsid w:val="00986052"/>
    <w:rsid w:val="009860D5"/>
    <w:rsid w:val="00987C74"/>
    <w:rsid w:val="009905E7"/>
    <w:rsid w:val="00994850"/>
    <w:rsid w:val="00995DD9"/>
    <w:rsid w:val="00996FA7"/>
    <w:rsid w:val="009A14D2"/>
    <w:rsid w:val="009A1C97"/>
    <w:rsid w:val="009A2DA3"/>
    <w:rsid w:val="009A3ADF"/>
    <w:rsid w:val="009A662A"/>
    <w:rsid w:val="009A6C03"/>
    <w:rsid w:val="009A7BFF"/>
    <w:rsid w:val="009A7F2E"/>
    <w:rsid w:val="009B0C1D"/>
    <w:rsid w:val="009B2E68"/>
    <w:rsid w:val="009B32CB"/>
    <w:rsid w:val="009B5BF8"/>
    <w:rsid w:val="009C18B3"/>
    <w:rsid w:val="009C1A22"/>
    <w:rsid w:val="009C2C3C"/>
    <w:rsid w:val="009C4BF1"/>
    <w:rsid w:val="009C7037"/>
    <w:rsid w:val="009C7943"/>
    <w:rsid w:val="009D1A5C"/>
    <w:rsid w:val="009D35A0"/>
    <w:rsid w:val="009D4F4F"/>
    <w:rsid w:val="009D5F17"/>
    <w:rsid w:val="009D6E1C"/>
    <w:rsid w:val="009D7351"/>
    <w:rsid w:val="009D73B8"/>
    <w:rsid w:val="009D7945"/>
    <w:rsid w:val="009E090D"/>
    <w:rsid w:val="009E30A5"/>
    <w:rsid w:val="009E3CEE"/>
    <w:rsid w:val="009E3EAC"/>
    <w:rsid w:val="009E4342"/>
    <w:rsid w:val="009E6715"/>
    <w:rsid w:val="009E6BE3"/>
    <w:rsid w:val="009E6C4B"/>
    <w:rsid w:val="009E7ED3"/>
    <w:rsid w:val="009F03B6"/>
    <w:rsid w:val="009F0432"/>
    <w:rsid w:val="009F2842"/>
    <w:rsid w:val="009F2CAA"/>
    <w:rsid w:val="009F2F35"/>
    <w:rsid w:val="009F4B17"/>
    <w:rsid w:val="009F4C61"/>
    <w:rsid w:val="009F5340"/>
    <w:rsid w:val="009F5683"/>
    <w:rsid w:val="009F691A"/>
    <w:rsid w:val="009F6B11"/>
    <w:rsid w:val="00A0163B"/>
    <w:rsid w:val="00A04DE3"/>
    <w:rsid w:val="00A04E54"/>
    <w:rsid w:val="00A061EB"/>
    <w:rsid w:val="00A0698F"/>
    <w:rsid w:val="00A12432"/>
    <w:rsid w:val="00A12E53"/>
    <w:rsid w:val="00A13CA8"/>
    <w:rsid w:val="00A13DFC"/>
    <w:rsid w:val="00A16B16"/>
    <w:rsid w:val="00A21946"/>
    <w:rsid w:val="00A237FB"/>
    <w:rsid w:val="00A23E03"/>
    <w:rsid w:val="00A27978"/>
    <w:rsid w:val="00A27DA6"/>
    <w:rsid w:val="00A30449"/>
    <w:rsid w:val="00A31873"/>
    <w:rsid w:val="00A3297D"/>
    <w:rsid w:val="00A34CCF"/>
    <w:rsid w:val="00A356F3"/>
    <w:rsid w:val="00A35B4A"/>
    <w:rsid w:val="00A364A1"/>
    <w:rsid w:val="00A36649"/>
    <w:rsid w:val="00A36D32"/>
    <w:rsid w:val="00A401BC"/>
    <w:rsid w:val="00A40F25"/>
    <w:rsid w:val="00A44F7D"/>
    <w:rsid w:val="00A470BC"/>
    <w:rsid w:val="00A5036B"/>
    <w:rsid w:val="00A50C7C"/>
    <w:rsid w:val="00A527F6"/>
    <w:rsid w:val="00A545A7"/>
    <w:rsid w:val="00A561C1"/>
    <w:rsid w:val="00A570D9"/>
    <w:rsid w:val="00A579AC"/>
    <w:rsid w:val="00A63606"/>
    <w:rsid w:val="00A6495C"/>
    <w:rsid w:val="00A650B3"/>
    <w:rsid w:val="00A65B9D"/>
    <w:rsid w:val="00A66062"/>
    <w:rsid w:val="00A66317"/>
    <w:rsid w:val="00A66E9E"/>
    <w:rsid w:val="00A710F1"/>
    <w:rsid w:val="00A71D3F"/>
    <w:rsid w:val="00A71FF1"/>
    <w:rsid w:val="00A7213D"/>
    <w:rsid w:val="00A76386"/>
    <w:rsid w:val="00A7781C"/>
    <w:rsid w:val="00A77CCA"/>
    <w:rsid w:val="00A8006F"/>
    <w:rsid w:val="00A82A30"/>
    <w:rsid w:val="00A85255"/>
    <w:rsid w:val="00A853FB"/>
    <w:rsid w:val="00A8572E"/>
    <w:rsid w:val="00A86DA7"/>
    <w:rsid w:val="00A86E6A"/>
    <w:rsid w:val="00A87DF7"/>
    <w:rsid w:val="00A919A4"/>
    <w:rsid w:val="00A91E49"/>
    <w:rsid w:val="00A9205A"/>
    <w:rsid w:val="00A925F6"/>
    <w:rsid w:val="00A93EF9"/>
    <w:rsid w:val="00A96450"/>
    <w:rsid w:val="00A96809"/>
    <w:rsid w:val="00AA17D2"/>
    <w:rsid w:val="00AA2509"/>
    <w:rsid w:val="00AA2A57"/>
    <w:rsid w:val="00AA2AF4"/>
    <w:rsid w:val="00AA5738"/>
    <w:rsid w:val="00AB0720"/>
    <w:rsid w:val="00AB0DA6"/>
    <w:rsid w:val="00AB0FBF"/>
    <w:rsid w:val="00AB114B"/>
    <w:rsid w:val="00AB4190"/>
    <w:rsid w:val="00AB46CD"/>
    <w:rsid w:val="00AB51F3"/>
    <w:rsid w:val="00AB5A9E"/>
    <w:rsid w:val="00AC18D7"/>
    <w:rsid w:val="00AC2611"/>
    <w:rsid w:val="00AC2E6A"/>
    <w:rsid w:val="00AC5221"/>
    <w:rsid w:val="00AD05A6"/>
    <w:rsid w:val="00AD2810"/>
    <w:rsid w:val="00AD3255"/>
    <w:rsid w:val="00AD3538"/>
    <w:rsid w:val="00AD436F"/>
    <w:rsid w:val="00AD48FB"/>
    <w:rsid w:val="00AD5FFC"/>
    <w:rsid w:val="00AE0F77"/>
    <w:rsid w:val="00AE4C5E"/>
    <w:rsid w:val="00AE52B8"/>
    <w:rsid w:val="00AE52E4"/>
    <w:rsid w:val="00AE60CE"/>
    <w:rsid w:val="00AE7BCB"/>
    <w:rsid w:val="00AE7C72"/>
    <w:rsid w:val="00AF0726"/>
    <w:rsid w:val="00AF1FBF"/>
    <w:rsid w:val="00AF24B2"/>
    <w:rsid w:val="00AF262F"/>
    <w:rsid w:val="00AF404A"/>
    <w:rsid w:val="00AF529C"/>
    <w:rsid w:val="00AF5345"/>
    <w:rsid w:val="00AF5B03"/>
    <w:rsid w:val="00AF60B7"/>
    <w:rsid w:val="00AF6AB3"/>
    <w:rsid w:val="00B00D21"/>
    <w:rsid w:val="00B01613"/>
    <w:rsid w:val="00B03791"/>
    <w:rsid w:val="00B047F1"/>
    <w:rsid w:val="00B051CC"/>
    <w:rsid w:val="00B05844"/>
    <w:rsid w:val="00B06745"/>
    <w:rsid w:val="00B07636"/>
    <w:rsid w:val="00B105BD"/>
    <w:rsid w:val="00B11C7D"/>
    <w:rsid w:val="00B11ED7"/>
    <w:rsid w:val="00B12B60"/>
    <w:rsid w:val="00B15995"/>
    <w:rsid w:val="00B16885"/>
    <w:rsid w:val="00B179E4"/>
    <w:rsid w:val="00B17FF8"/>
    <w:rsid w:val="00B20543"/>
    <w:rsid w:val="00B206D7"/>
    <w:rsid w:val="00B20B9D"/>
    <w:rsid w:val="00B20DA5"/>
    <w:rsid w:val="00B22FEF"/>
    <w:rsid w:val="00B235F7"/>
    <w:rsid w:val="00B2374C"/>
    <w:rsid w:val="00B242B8"/>
    <w:rsid w:val="00B24831"/>
    <w:rsid w:val="00B25A1C"/>
    <w:rsid w:val="00B265A5"/>
    <w:rsid w:val="00B30840"/>
    <w:rsid w:val="00B30A72"/>
    <w:rsid w:val="00B30CF7"/>
    <w:rsid w:val="00B30F3E"/>
    <w:rsid w:val="00B3280B"/>
    <w:rsid w:val="00B34570"/>
    <w:rsid w:val="00B365C9"/>
    <w:rsid w:val="00B36A4E"/>
    <w:rsid w:val="00B375D7"/>
    <w:rsid w:val="00B400A5"/>
    <w:rsid w:val="00B40BD6"/>
    <w:rsid w:val="00B41F38"/>
    <w:rsid w:val="00B42671"/>
    <w:rsid w:val="00B42F3A"/>
    <w:rsid w:val="00B43AA7"/>
    <w:rsid w:val="00B43BAA"/>
    <w:rsid w:val="00B4496C"/>
    <w:rsid w:val="00B46F5D"/>
    <w:rsid w:val="00B510D1"/>
    <w:rsid w:val="00B516F4"/>
    <w:rsid w:val="00B52090"/>
    <w:rsid w:val="00B52FBA"/>
    <w:rsid w:val="00B53695"/>
    <w:rsid w:val="00B549A7"/>
    <w:rsid w:val="00B6021A"/>
    <w:rsid w:val="00B61CD8"/>
    <w:rsid w:val="00B6245E"/>
    <w:rsid w:val="00B6352B"/>
    <w:rsid w:val="00B63F07"/>
    <w:rsid w:val="00B63F8B"/>
    <w:rsid w:val="00B64FD7"/>
    <w:rsid w:val="00B65FD9"/>
    <w:rsid w:val="00B6634F"/>
    <w:rsid w:val="00B675A1"/>
    <w:rsid w:val="00B67FDC"/>
    <w:rsid w:val="00B708CF"/>
    <w:rsid w:val="00B71781"/>
    <w:rsid w:val="00B7222E"/>
    <w:rsid w:val="00B7336C"/>
    <w:rsid w:val="00B7548C"/>
    <w:rsid w:val="00B76C6A"/>
    <w:rsid w:val="00B77794"/>
    <w:rsid w:val="00B80677"/>
    <w:rsid w:val="00B8097C"/>
    <w:rsid w:val="00B82437"/>
    <w:rsid w:val="00B829A8"/>
    <w:rsid w:val="00B829B3"/>
    <w:rsid w:val="00B82B47"/>
    <w:rsid w:val="00B83749"/>
    <w:rsid w:val="00B860F7"/>
    <w:rsid w:val="00B87617"/>
    <w:rsid w:val="00B92522"/>
    <w:rsid w:val="00B92684"/>
    <w:rsid w:val="00B95065"/>
    <w:rsid w:val="00B96E93"/>
    <w:rsid w:val="00B96EBE"/>
    <w:rsid w:val="00B971AE"/>
    <w:rsid w:val="00B97AE8"/>
    <w:rsid w:val="00B97F40"/>
    <w:rsid w:val="00BA0ADF"/>
    <w:rsid w:val="00BA0B8A"/>
    <w:rsid w:val="00BA2289"/>
    <w:rsid w:val="00BA3745"/>
    <w:rsid w:val="00BA58A0"/>
    <w:rsid w:val="00BA7C24"/>
    <w:rsid w:val="00BA7DD7"/>
    <w:rsid w:val="00BB01C4"/>
    <w:rsid w:val="00BB1DDF"/>
    <w:rsid w:val="00BB1F05"/>
    <w:rsid w:val="00BB2C30"/>
    <w:rsid w:val="00BB4665"/>
    <w:rsid w:val="00BB4A4E"/>
    <w:rsid w:val="00BB5D12"/>
    <w:rsid w:val="00BB6339"/>
    <w:rsid w:val="00BC0981"/>
    <w:rsid w:val="00BC1CC8"/>
    <w:rsid w:val="00BC2D7C"/>
    <w:rsid w:val="00BC48CD"/>
    <w:rsid w:val="00BD1BA8"/>
    <w:rsid w:val="00BD3529"/>
    <w:rsid w:val="00BD77CC"/>
    <w:rsid w:val="00BE0898"/>
    <w:rsid w:val="00BE0CE0"/>
    <w:rsid w:val="00BE1D03"/>
    <w:rsid w:val="00BE3538"/>
    <w:rsid w:val="00BE4166"/>
    <w:rsid w:val="00BE4EA8"/>
    <w:rsid w:val="00BE56ED"/>
    <w:rsid w:val="00BE684C"/>
    <w:rsid w:val="00BE77A5"/>
    <w:rsid w:val="00BE7A44"/>
    <w:rsid w:val="00BF06C7"/>
    <w:rsid w:val="00BF158F"/>
    <w:rsid w:val="00BF16AA"/>
    <w:rsid w:val="00BF4B71"/>
    <w:rsid w:val="00BF4D87"/>
    <w:rsid w:val="00BF5106"/>
    <w:rsid w:val="00BF5D19"/>
    <w:rsid w:val="00BF5DF9"/>
    <w:rsid w:val="00BF6428"/>
    <w:rsid w:val="00C032E9"/>
    <w:rsid w:val="00C04E50"/>
    <w:rsid w:val="00C053AA"/>
    <w:rsid w:val="00C05572"/>
    <w:rsid w:val="00C0576F"/>
    <w:rsid w:val="00C05841"/>
    <w:rsid w:val="00C07782"/>
    <w:rsid w:val="00C1019C"/>
    <w:rsid w:val="00C102A5"/>
    <w:rsid w:val="00C10CA2"/>
    <w:rsid w:val="00C1154C"/>
    <w:rsid w:val="00C11CA8"/>
    <w:rsid w:val="00C1395F"/>
    <w:rsid w:val="00C1502D"/>
    <w:rsid w:val="00C171EF"/>
    <w:rsid w:val="00C17B97"/>
    <w:rsid w:val="00C20338"/>
    <w:rsid w:val="00C2114D"/>
    <w:rsid w:val="00C239D5"/>
    <w:rsid w:val="00C24B34"/>
    <w:rsid w:val="00C26CBC"/>
    <w:rsid w:val="00C33EEC"/>
    <w:rsid w:val="00C343BD"/>
    <w:rsid w:val="00C34966"/>
    <w:rsid w:val="00C35159"/>
    <w:rsid w:val="00C3561A"/>
    <w:rsid w:val="00C36730"/>
    <w:rsid w:val="00C374D4"/>
    <w:rsid w:val="00C37631"/>
    <w:rsid w:val="00C4141D"/>
    <w:rsid w:val="00C41825"/>
    <w:rsid w:val="00C41CB1"/>
    <w:rsid w:val="00C43A0C"/>
    <w:rsid w:val="00C43F45"/>
    <w:rsid w:val="00C459CE"/>
    <w:rsid w:val="00C46721"/>
    <w:rsid w:val="00C46EC8"/>
    <w:rsid w:val="00C511C6"/>
    <w:rsid w:val="00C52FF7"/>
    <w:rsid w:val="00C546FF"/>
    <w:rsid w:val="00C54A92"/>
    <w:rsid w:val="00C56178"/>
    <w:rsid w:val="00C564AF"/>
    <w:rsid w:val="00C56E4D"/>
    <w:rsid w:val="00C5703C"/>
    <w:rsid w:val="00C573F1"/>
    <w:rsid w:val="00C62B94"/>
    <w:rsid w:val="00C62EE7"/>
    <w:rsid w:val="00C63CEE"/>
    <w:rsid w:val="00C655E0"/>
    <w:rsid w:val="00C674B4"/>
    <w:rsid w:val="00C70D8D"/>
    <w:rsid w:val="00C71920"/>
    <w:rsid w:val="00C72455"/>
    <w:rsid w:val="00C74392"/>
    <w:rsid w:val="00C74422"/>
    <w:rsid w:val="00C75948"/>
    <w:rsid w:val="00C767A4"/>
    <w:rsid w:val="00C76D3F"/>
    <w:rsid w:val="00C76EC6"/>
    <w:rsid w:val="00C777C6"/>
    <w:rsid w:val="00C8272C"/>
    <w:rsid w:val="00C8337E"/>
    <w:rsid w:val="00C83CDE"/>
    <w:rsid w:val="00C8437C"/>
    <w:rsid w:val="00C85A02"/>
    <w:rsid w:val="00C8624C"/>
    <w:rsid w:val="00C8765E"/>
    <w:rsid w:val="00C90E7B"/>
    <w:rsid w:val="00C913DC"/>
    <w:rsid w:val="00C92371"/>
    <w:rsid w:val="00C92B2B"/>
    <w:rsid w:val="00C93F32"/>
    <w:rsid w:val="00C94775"/>
    <w:rsid w:val="00C947A9"/>
    <w:rsid w:val="00C94D3F"/>
    <w:rsid w:val="00C95D73"/>
    <w:rsid w:val="00CA1292"/>
    <w:rsid w:val="00CA2177"/>
    <w:rsid w:val="00CA492E"/>
    <w:rsid w:val="00CA4C09"/>
    <w:rsid w:val="00CA4FA9"/>
    <w:rsid w:val="00CA6DEF"/>
    <w:rsid w:val="00CB09A1"/>
    <w:rsid w:val="00CB146D"/>
    <w:rsid w:val="00CB18E2"/>
    <w:rsid w:val="00CB4302"/>
    <w:rsid w:val="00CB4D1B"/>
    <w:rsid w:val="00CB6CD5"/>
    <w:rsid w:val="00CB7613"/>
    <w:rsid w:val="00CB79A7"/>
    <w:rsid w:val="00CC1780"/>
    <w:rsid w:val="00CC1CCA"/>
    <w:rsid w:val="00CC2DCE"/>
    <w:rsid w:val="00CC3FF8"/>
    <w:rsid w:val="00CC4A07"/>
    <w:rsid w:val="00CC4F69"/>
    <w:rsid w:val="00CC5D1F"/>
    <w:rsid w:val="00CC64B0"/>
    <w:rsid w:val="00CC7BDF"/>
    <w:rsid w:val="00CD2571"/>
    <w:rsid w:val="00CD671E"/>
    <w:rsid w:val="00CD6AB8"/>
    <w:rsid w:val="00CD6C69"/>
    <w:rsid w:val="00CD770C"/>
    <w:rsid w:val="00CD7ACC"/>
    <w:rsid w:val="00CE13E0"/>
    <w:rsid w:val="00CE202C"/>
    <w:rsid w:val="00CE485B"/>
    <w:rsid w:val="00CE4A36"/>
    <w:rsid w:val="00CE5BC4"/>
    <w:rsid w:val="00CE5CEA"/>
    <w:rsid w:val="00CE6911"/>
    <w:rsid w:val="00CF1C62"/>
    <w:rsid w:val="00CF38D7"/>
    <w:rsid w:val="00CF4B38"/>
    <w:rsid w:val="00CF540D"/>
    <w:rsid w:val="00CF70DB"/>
    <w:rsid w:val="00CF7D0F"/>
    <w:rsid w:val="00D0086F"/>
    <w:rsid w:val="00D01053"/>
    <w:rsid w:val="00D01845"/>
    <w:rsid w:val="00D01B22"/>
    <w:rsid w:val="00D0205F"/>
    <w:rsid w:val="00D02682"/>
    <w:rsid w:val="00D03E15"/>
    <w:rsid w:val="00D05FE2"/>
    <w:rsid w:val="00D06ABF"/>
    <w:rsid w:val="00D07DF0"/>
    <w:rsid w:val="00D13147"/>
    <w:rsid w:val="00D13B9D"/>
    <w:rsid w:val="00D1424F"/>
    <w:rsid w:val="00D14818"/>
    <w:rsid w:val="00D15111"/>
    <w:rsid w:val="00D167ED"/>
    <w:rsid w:val="00D1740B"/>
    <w:rsid w:val="00D20341"/>
    <w:rsid w:val="00D21751"/>
    <w:rsid w:val="00D21F6E"/>
    <w:rsid w:val="00D22CFE"/>
    <w:rsid w:val="00D232FA"/>
    <w:rsid w:val="00D23A72"/>
    <w:rsid w:val="00D23AB2"/>
    <w:rsid w:val="00D27104"/>
    <w:rsid w:val="00D27D32"/>
    <w:rsid w:val="00D301D2"/>
    <w:rsid w:val="00D31C1B"/>
    <w:rsid w:val="00D33A1A"/>
    <w:rsid w:val="00D3467B"/>
    <w:rsid w:val="00D34A64"/>
    <w:rsid w:val="00D353A8"/>
    <w:rsid w:val="00D37174"/>
    <w:rsid w:val="00D37685"/>
    <w:rsid w:val="00D37882"/>
    <w:rsid w:val="00D40B5C"/>
    <w:rsid w:val="00D41C2B"/>
    <w:rsid w:val="00D42242"/>
    <w:rsid w:val="00D45208"/>
    <w:rsid w:val="00D45568"/>
    <w:rsid w:val="00D51C6E"/>
    <w:rsid w:val="00D531C9"/>
    <w:rsid w:val="00D609E5"/>
    <w:rsid w:val="00D61986"/>
    <w:rsid w:val="00D61DBD"/>
    <w:rsid w:val="00D636FC"/>
    <w:rsid w:val="00D637D4"/>
    <w:rsid w:val="00D651BC"/>
    <w:rsid w:val="00D667E5"/>
    <w:rsid w:val="00D66971"/>
    <w:rsid w:val="00D67764"/>
    <w:rsid w:val="00D708B7"/>
    <w:rsid w:val="00D70E8C"/>
    <w:rsid w:val="00D71C4B"/>
    <w:rsid w:val="00D755A7"/>
    <w:rsid w:val="00D77B37"/>
    <w:rsid w:val="00D80173"/>
    <w:rsid w:val="00D823A9"/>
    <w:rsid w:val="00D82903"/>
    <w:rsid w:val="00D831BB"/>
    <w:rsid w:val="00D83FB6"/>
    <w:rsid w:val="00D85B1A"/>
    <w:rsid w:val="00D8687D"/>
    <w:rsid w:val="00D90217"/>
    <w:rsid w:val="00D91D2A"/>
    <w:rsid w:val="00D91F7D"/>
    <w:rsid w:val="00D95224"/>
    <w:rsid w:val="00D95989"/>
    <w:rsid w:val="00D96C89"/>
    <w:rsid w:val="00D96D8D"/>
    <w:rsid w:val="00D97320"/>
    <w:rsid w:val="00DA0BFE"/>
    <w:rsid w:val="00DA1FEC"/>
    <w:rsid w:val="00DA275A"/>
    <w:rsid w:val="00DA4A4F"/>
    <w:rsid w:val="00DA52E8"/>
    <w:rsid w:val="00DA6264"/>
    <w:rsid w:val="00DA6360"/>
    <w:rsid w:val="00DA6836"/>
    <w:rsid w:val="00DC2A0C"/>
    <w:rsid w:val="00DC41F6"/>
    <w:rsid w:val="00DC54A4"/>
    <w:rsid w:val="00DC6552"/>
    <w:rsid w:val="00DC6619"/>
    <w:rsid w:val="00DC6D8B"/>
    <w:rsid w:val="00DC7D6A"/>
    <w:rsid w:val="00DD2C65"/>
    <w:rsid w:val="00DD3AF7"/>
    <w:rsid w:val="00DD491D"/>
    <w:rsid w:val="00DD7BB6"/>
    <w:rsid w:val="00DE1F70"/>
    <w:rsid w:val="00DE2308"/>
    <w:rsid w:val="00DE3150"/>
    <w:rsid w:val="00DE437C"/>
    <w:rsid w:val="00DE5012"/>
    <w:rsid w:val="00DE591C"/>
    <w:rsid w:val="00DE68E0"/>
    <w:rsid w:val="00DE6D16"/>
    <w:rsid w:val="00DF20F8"/>
    <w:rsid w:val="00DF274C"/>
    <w:rsid w:val="00DF2BB6"/>
    <w:rsid w:val="00DF2C50"/>
    <w:rsid w:val="00DF3C21"/>
    <w:rsid w:val="00DF3CD3"/>
    <w:rsid w:val="00DF50F1"/>
    <w:rsid w:val="00DF5824"/>
    <w:rsid w:val="00DF6010"/>
    <w:rsid w:val="00DF6487"/>
    <w:rsid w:val="00E00E5A"/>
    <w:rsid w:val="00E011B1"/>
    <w:rsid w:val="00E0203D"/>
    <w:rsid w:val="00E0255C"/>
    <w:rsid w:val="00E034C8"/>
    <w:rsid w:val="00E03634"/>
    <w:rsid w:val="00E04093"/>
    <w:rsid w:val="00E06474"/>
    <w:rsid w:val="00E102BB"/>
    <w:rsid w:val="00E102ED"/>
    <w:rsid w:val="00E126E0"/>
    <w:rsid w:val="00E129B1"/>
    <w:rsid w:val="00E146FE"/>
    <w:rsid w:val="00E1501D"/>
    <w:rsid w:val="00E1655E"/>
    <w:rsid w:val="00E17D68"/>
    <w:rsid w:val="00E21DED"/>
    <w:rsid w:val="00E22F11"/>
    <w:rsid w:val="00E24AD4"/>
    <w:rsid w:val="00E25FA6"/>
    <w:rsid w:val="00E260B2"/>
    <w:rsid w:val="00E26262"/>
    <w:rsid w:val="00E263F2"/>
    <w:rsid w:val="00E26467"/>
    <w:rsid w:val="00E27B21"/>
    <w:rsid w:val="00E27E4C"/>
    <w:rsid w:val="00E301EE"/>
    <w:rsid w:val="00E3042A"/>
    <w:rsid w:val="00E31033"/>
    <w:rsid w:val="00E3113D"/>
    <w:rsid w:val="00E33ACC"/>
    <w:rsid w:val="00E34BAD"/>
    <w:rsid w:val="00E36BE2"/>
    <w:rsid w:val="00E36EA7"/>
    <w:rsid w:val="00E36F73"/>
    <w:rsid w:val="00E3714F"/>
    <w:rsid w:val="00E3755B"/>
    <w:rsid w:val="00E37CC9"/>
    <w:rsid w:val="00E43930"/>
    <w:rsid w:val="00E44DE1"/>
    <w:rsid w:val="00E44E3C"/>
    <w:rsid w:val="00E45CD7"/>
    <w:rsid w:val="00E4759B"/>
    <w:rsid w:val="00E500E9"/>
    <w:rsid w:val="00E50F15"/>
    <w:rsid w:val="00E51A3D"/>
    <w:rsid w:val="00E53229"/>
    <w:rsid w:val="00E53F46"/>
    <w:rsid w:val="00E544CF"/>
    <w:rsid w:val="00E5485A"/>
    <w:rsid w:val="00E559FB"/>
    <w:rsid w:val="00E5649C"/>
    <w:rsid w:val="00E5671C"/>
    <w:rsid w:val="00E568E1"/>
    <w:rsid w:val="00E56BB8"/>
    <w:rsid w:val="00E574FC"/>
    <w:rsid w:val="00E60695"/>
    <w:rsid w:val="00E6090C"/>
    <w:rsid w:val="00E60FC1"/>
    <w:rsid w:val="00E61043"/>
    <w:rsid w:val="00E61A0E"/>
    <w:rsid w:val="00E61CF3"/>
    <w:rsid w:val="00E61E4D"/>
    <w:rsid w:val="00E63C04"/>
    <w:rsid w:val="00E6515F"/>
    <w:rsid w:val="00E65AAE"/>
    <w:rsid w:val="00E65BF2"/>
    <w:rsid w:val="00E65ECE"/>
    <w:rsid w:val="00E671D3"/>
    <w:rsid w:val="00E67592"/>
    <w:rsid w:val="00E67D85"/>
    <w:rsid w:val="00E72160"/>
    <w:rsid w:val="00E73406"/>
    <w:rsid w:val="00E75B91"/>
    <w:rsid w:val="00E76BC5"/>
    <w:rsid w:val="00E7781F"/>
    <w:rsid w:val="00E824FD"/>
    <w:rsid w:val="00E83879"/>
    <w:rsid w:val="00E83949"/>
    <w:rsid w:val="00E83DA8"/>
    <w:rsid w:val="00E8596C"/>
    <w:rsid w:val="00E865C0"/>
    <w:rsid w:val="00E87C2E"/>
    <w:rsid w:val="00E900AF"/>
    <w:rsid w:val="00E90ADB"/>
    <w:rsid w:val="00E93334"/>
    <w:rsid w:val="00E9460D"/>
    <w:rsid w:val="00E94789"/>
    <w:rsid w:val="00E94FC2"/>
    <w:rsid w:val="00E9505B"/>
    <w:rsid w:val="00E95C92"/>
    <w:rsid w:val="00E9631B"/>
    <w:rsid w:val="00E964EE"/>
    <w:rsid w:val="00E97CC8"/>
    <w:rsid w:val="00EA129E"/>
    <w:rsid w:val="00EA2570"/>
    <w:rsid w:val="00EA37A2"/>
    <w:rsid w:val="00EA39DF"/>
    <w:rsid w:val="00EA3C71"/>
    <w:rsid w:val="00EA43BE"/>
    <w:rsid w:val="00EA5DD7"/>
    <w:rsid w:val="00EA69D4"/>
    <w:rsid w:val="00EB0134"/>
    <w:rsid w:val="00EB14C9"/>
    <w:rsid w:val="00EB1723"/>
    <w:rsid w:val="00EB2C5F"/>
    <w:rsid w:val="00EB32CE"/>
    <w:rsid w:val="00EB33E2"/>
    <w:rsid w:val="00EB44A6"/>
    <w:rsid w:val="00EB5FE5"/>
    <w:rsid w:val="00EB7134"/>
    <w:rsid w:val="00EC1E91"/>
    <w:rsid w:val="00EC3A18"/>
    <w:rsid w:val="00EC55CB"/>
    <w:rsid w:val="00EC5C09"/>
    <w:rsid w:val="00ED073D"/>
    <w:rsid w:val="00ED07ED"/>
    <w:rsid w:val="00ED0CFD"/>
    <w:rsid w:val="00ED0FF8"/>
    <w:rsid w:val="00ED264A"/>
    <w:rsid w:val="00ED26C2"/>
    <w:rsid w:val="00ED4077"/>
    <w:rsid w:val="00ED4F2F"/>
    <w:rsid w:val="00ED748B"/>
    <w:rsid w:val="00EE155C"/>
    <w:rsid w:val="00EE1CAB"/>
    <w:rsid w:val="00EE4C7B"/>
    <w:rsid w:val="00EE6DB9"/>
    <w:rsid w:val="00EE7508"/>
    <w:rsid w:val="00EE7DFC"/>
    <w:rsid w:val="00EE7F9E"/>
    <w:rsid w:val="00EF00F9"/>
    <w:rsid w:val="00EF2B2D"/>
    <w:rsid w:val="00EF462D"/>
    <w:rsid w:val="00EF4908"/>
    <w:rsid w:val="00EF5942"/>
    <w:rsid w:val="00EF5B96"/>
    <w:rsid w:val="00EF62C6"/>
    <w:rsid w:val="00EF67C4"/>
    <w:rsid w:val="00F00618"/>
    <w:rsid w:val="00F01ED5"/>
    <w:rsid w:val="00F030E1"/>
    <w:rsid w:val="00F078CD"/>
    <w:rsid w:val="00F1028E"/>
    <w:rsid w:val="00F10350"/>
    <w:rsid w:val="00F10D0E"/>
    <w:rsid w:val="00F11576"/>
    <w:rsid w:val="00F115AA"/>
    <w:rsid w:val="00F117D2"/>
    <w:rsid w:val="00F12784"/>
    <w:rsid w:val="00F12BB1"/>
    <w:rsid w:val="00F12BCE"/>
    <w:rsid w:val="00F16B41"/>
    <w:rsid w:val="00F17700"/>
    <w:rsid w:val="00F201D0"/>
    <w:rsid w:val="00F2429D"/>
    <w:rsid w:val="00F245C8"/>
    <w:rsid w:val="00F259C7"/>
    <w:rsid w:val="00F275D7"/>
    <w:rsid w:val="00F27A45"/>
    <w:rsid w:val="00F3173A"/>
    <w:rsid w:val="00F318E1"/>
    <w:rsid w:val="00F320EE"/>
    <w:rsid w:val="00F33B5B"/>
    <w:rsid w:val="00F34775"/>
    <w:rsid w:val="00F35090"/>
    <w:rsid w:val="00F36DEA"/>
    <w:rsid w:val="00F374D0"/>
    <w:rsid w:val="00F4050E"/>
    <w:rsid w:val="00F4071A"/>
    <w:rsid w:val="00F41283"/>
    <w:rsid w:val="00F416C6"/>
    <w:rsid w:val="00F4406F"/>
    <w:rsid w:val="00F474CB"/>
    <w:rsid w:val="00F547BA"/>
    <w:rsid w:val="00F61203"/>
    <w:rsid w:val="00F61E47"/>
    <w:rsid w:val="00F61E7A"/>
    <w:rsid w:val="00F622AA"/>
    <w:rsid w:val="00F633AD"/>
    <w:rsid w:val="00F6436F"/>
    <w:rsid w:val="00F6596E"/>
    <w:rsid w:val="00F6678B"/>
    <w:rsid w:val="00F6679F"/>
    <w:rsid w:val="00F67569"/>
    <w:rsid w:val="00F67CAA"/>
    <w:rsid w:val="00F71577"/>
    <w:rsid w:val="00F71EE1"/>
    <w:rsid w:val="00F71EF2"/>
    <w:rsid w:val="00F722DA"/>
    <w:rsid w:val="00F72CF5"/>
    <w:rsid w:val="00F72F47"/>
    <w:rsid w:val="00F748A7"/>
    <w:rsid w:val="00F74AA0"/>
    <w:rsid w:val="00F75017"/>
    <w:rsid w:val="00F76C82"/>
    <w:rsid w:val="00F80495"/>
    <w:rsid w:val="00F81A00"/>
    <w:rsid w:val="00F81A36"/>
    <w:rsid w:val="00F82796"/>
    <w:rsid w:val="00F83A61"/>
    <w:rsid w:val="00F84C6C"/>
    <w:rsid w:val="00F86243"/>
    <w:rsid w:val="00F87942"/>
    <w:rsid w:val="00F907E3"/>
    <w:rsid w:val="00F92B36"/>
    <w:rsid w:val="00F92F95"/>
    <w:rsid w:val="00F93802"/>
    <w:rsid w:val="00F93E53"/>
    <w:rsid w:val="00F948AD"/>
    <w:rsid w:val="00F95A25"/>
    <w:rsid w:val="00F962FB"/>
    <w:rsid w:val="00FA028D"/>
    <w:rsid w:val="00FA1D06"/>
    <w:rsid w:val="00FA2363"/>
    <w:rsid w:val="00FA2D7C"/>
    <w:rsid w:val="00FA320D"/>
    <w:rsid w:val="00FA4086"/>
    <w:rsid w:val="00FA40ED"/>
    <w:rsid w:val="00FA421E"/>
    <w:rsid w:val="00FA551E"/>
    <w:rsid w:val="00FA68F1"/>
    <w:rsid w:val="00FA6B98"/>
    <w:rsid w:val="00FB028A"/>
    <w:rsid w:val="00FB114E"/>
    <w:rsid w:val="00FB1E23"/>
    <w:rsid w:val="00FB3557"/>
    <w:rsid w:val="00FB3E48"/>
    <w:rsid w:val="00FB41F7"/>
    <w:rsid w:val="00FB50EE"/>
    <w:rsid w:val="00FB5470"/>
    <w:rsid w:val="00FC01D2"/>
    <w:rsid w:val="00FC1144"/>
    <w:rsid w:val="00FC183E"/>
    <w:rsid w:val="00FC27C3"/>
    <w:rsid w:val="00FC3282"/>
    <w:rsid w:val="00FC4E8E"/>
    <w:rsid w:val="00FC7166"/>
    <w:rsid w:val="00FD1399"/>
    <w:rsid w:val="00FD146A"/>
    <w:rsid w:val="00FD1655"/>
    <w:rsid w:val="00FD1DDA"/>
    <w:rsid w:val="00FD2141"/>
    <w:rsid w:val="00FD22E1"/>
    <w:rsid w:val="00FD47E8"/>
    <w:rsid w:val="00FD4B4C"/>
    <w:rsid w:val="00FD6851"/>
    <w:rsid w:val="00FD7969"/>
    <w:rsid w:val="00FD796E"/>
    <w:rsid w:val="00FE09E6"/>
    <w:rsid w:val="00FE1C23"/>
    <w:rsid w:val="00FE277E"/>
    <w:rsid w:val="00FE3399"/>
    <w:rsid w:val="00FE38BE"/>
    <w:rsid w:val="00FE463C"/>
    <w:rsid w:val="00FE63F6"/>
    <w:rsid w:val="00FE7C89"/>
    <w:rsid w:val="00FF22A7"/>
    <w:rsid w:val="00FF4296"/>
    <w:rsid w:val="00FF4B89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5CC66-C865-45E1-A9ED-61EFFA4C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A4F"/>
  </w:style>
  <w:style w:type="paragraph" w:styleId="Pidipagina">
    <w:name w:val="footer"/>
    <w:basedOn w:val="Normale"/>
    <w:link w:val="PidipaginaCarattere"/>
    <w:uiPriority w:val="99"/>
    <w:unhideWhenUsed/>
    <w:rsid w:val="00DA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A4F"/>
  </w:style>
  <w:style w:type="character" w:styleId="Collegamentovisitato">
    <w:name w:val="FollowedHyperlink"/>
    <w:basedOn w:val="Carpredefinitoparagrafo"/>
    <w:uiPriority w:val="99"/>
    <w:semiHidden/>
    <w:unhideWhenUsed/>
    <w:rsid w:val="00332812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2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pportogimbe.it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gimbe.org/download/Adempimenti_LEA_2010_2017.jp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mbe.org/download/Tabella%20adempimenti%20LEA%202010-201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fficio.stampa@gimbe.or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imbe.org/download/Tabella%20adempimenti%20LEA%202010-2017.pdf" TargetMode="External"/><Relationship Id="rId14" Type="http://schemas.openxmlformats.org/officeDocument/2006/relationships/hyperlink" Target="http://www.gimbe.org/download/Adempimenti_LEA_2010_2017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44C9-1000-49F1-B636-0A83ED72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7</cp:revision>
  <cp:lastPrinted>2019-11-26T11:48:00Z</cp:lastPrinted>
  <dcterms:created xsi:type="dcterms:W3CDTF">2019-11-26T19:44:00Z</dcterms:created>
  <dcterms:modified xsi:type="dcterms:W3CDTF">2019-11-27T09:33:00Z</dcterms:modified>
</cp:coreProperties>
</file>